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8B" w:rsidRDefault="00F97A8B" w:rsidP="00F97A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УДК </w:t>
      </w:r>
      <w:r w:rsidR="00D84CC3">
        <w:rPr>
          <w:rFonts w:ascii="Times New Roman" w:eastAsia="Calibri" w:hAnsi="Times New Roman" w:cs="Times New Roman"/>
          <w:b/>
          <w:sz w:val="24"/>
          <w:szCs w:val="24"/>
        </w:rPr>
        <w:t>336.14</w:t>
      </w:r>
    </w:p>
    <w:p w:rsidR="008B1417" w:rsidRDefault="00F97A8B" w:rsidP="00F97A8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О.И.</w:t>
      </w:r>
      <w:r w:rsidR="00743B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Гузенко</w:t>
      </w:r>
      <w:r w:rsidR="00027AA4">
        <w:rPr>
          <w:rFonts w:ascii="Times New Roman" w:eastAsia="Calibri" w:hAnsi="Times New Roman" w:cs="Times New Roman"/>
          <w:b/>
          <w:sz w:val="24"/>
          <w:szCs w:val="24"/>
        </w:rPr>
        <w:t>, к.э.н.</w:t>
      </w:r>
      <w:r w:rsidR="00BF56C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F97A8B" w:rsidRDefault="00F97A8B" w:rsidP="00F97A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97A8B">
        <w:rPr>
          <w:rFonts w:ascii="Times New Roman" w:eastAsia="Calibri" w:hAnsi="Times New Roman" w:cs="Times New Roman"/>
          <w:sz w:val="20"/>
          <w:szCs w:val="20"/>
        </w:rPr>
        <w:t>г. Ростов-на-Дону, Академия строительства и архитектуры</w:t>
      </w:r>
      <w:r w:rsidR="008B1417">
        <w:rPr>
          <w:rFonts w:ascii="Times New Roman" w:eastAsia="Calibri" w:hAnsi="Times New Roman" w:cs="Times New Roman"/>
          <w:sz w:val="20"/>
          <w:szCs w:val="20"/>
        </w:rPr>
        <w:t>,</w:t>
      </w:r>
    </w:p>
    <w:p w:rsidR="008B1417" w:rsidRPr="00F97A8B" w:rsidRDefault="008B1417" w:rsidP="00F97A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Кафедра «Экономическая теория и предпринимательство»</w:t>
      </w:r>
    </w:p>
    <w:p w:rsidR="00F97A8B" w:rsidRPr="00F97A8B" w:rsidRDefault="00F97A8B" w:rsidP="00F97A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97A8B">
        <w:rPr>
          <w:rFonts w:ascii="Times New Roman" w:eastAsia="Calibri" w:hAnsi="Times New Roman" w:cs="Times New Roman"/>
          <w:sz w:val="20"/>
          <w:szCs w:val="20"/>
        </w:rPr>
        <w:t xml:space="preserve">Донского государственного технического университета </w:t>
      </w:r>
    </w:p>
    <w:p w:rsidR="00F97A8B" w:rsidRPr="00F97A8B" w:rsidRDefault="00F97A8B" w:rsidP="00F97A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7A8B" w:rsidRPr="00027AA4" w:rsidRDefault="00F97A8B" w:rsidP="00027A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ПРОБЛЕМЫ ФОРМИРОВАНИЯ ДОХОДНОЙ ЧАСТИ РЕГИОНАЛЬНЫХ БЮДЖЕТОВ РФ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рыночной экономики в России за последние несколько лет привело к необходимости внесения изменений в бюджетное устройство, что проявилось в расширении поля самостоятельности принятия решений в бюджетной сфере субъектов Федерации. При этом возросла роль региональных органов государственной власти в процесс</w:t>
      </w:r>
      <w:r w:rsidR="0074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регулирования социально-экономической системы в рамках соответствующего территориального образования. Так, на сегодняшний день, нагрузка по финансированию социальной сферы возложена на региональные бюджеты более чем на 80 % от всех затрат государства</w:t>
      </w:r>
      <w:r w:rsidR="0002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AA4" w:rsidRPr="0002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аналогична ситуация с финансированием затрат на жилищно-коммунальное хозяйство региона. По этой причине формирование доходной части территориального бюджета является основой стабильности и социально-экономического развития региона.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74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финансовая самостоятельность субъектов РФ носит относительный характер. Многие их региональных образований сегодня существуют в состоянии финансовой зависимости. Если провести сопоставление объёмов средств, которые поступают с территории в региональный бюджет, и суммарных расходов на данной территории из бюджета, то можно увидеть, что в РФ около 10 регионов, </w:t>
      </w:r>
      <w:r w:rsidR="008D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 «донорами» (Таблица 1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4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61D5" w:rsidRPr="00027AA4" w:rsidRDefault="008D75FC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Топ-10 регионов-«доноров» в РФ</w:t>
      </w:r>
      <w:r w:rsidR="008B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AA4" w:rsidRPr="0002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5104"/>
      </w:tblGrid>
      <w:tr w:rsidR="00E161D5" w:rsidRPr="00E161D5" w:rsidTr="008D75FC">
        <w:trPr>
          <w:jc w:val="center"/>
        </w:trPr>
        <w:tc>
          <w:tcPr>
            <w:tcW w:w="1560" w:type="dxa"/>
          </w:tcPr>
          <w:p w:rsidR="00E161D5" w:rsidRPr="00E161D5" w:rsidRDefault="00E161D5" w:rsidP="008D75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4" w:type="dxa"/>
          </w:tcPr>
          <w:p w:rsidR="00E161D5" w:rsidRPr="00E161D5" w:rsidRDefault="00E161D5" w:rsidP="008D75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</w:tr>
      <w:tr w:rsidR="00E161D5" w:rsidRPr="00E161D5" w:rsidTr="008D75FC">
        <w:trPr>
          <w:jc w:val="center"/>
        </w:trPr>
        <w:tc>
          <w:tcPr>
            <w:tcW w:w="1560" w:type="dxa"/>
          </w:tcPr>
          <w:p w:rsidR="00E161D5" w:rsidRPr="00E161D5" w:rsidRDefault="00E161D5" w:rsidP="008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E161D5" w:rsidRPr="00E161D5" w:rsidRDefault="00E161D5" w:rsidP="008D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161D5" w:rsidRPr="00E161D5" w:rsidTr="008D75FC">
        <w:trPr>
          <w:jc w:val="center"/>
        </w:trPr>
        <w:tc>
          <w:tcPr>
            <w:tcW w:w="1560" w:type="dxa"/>
          </w:tcPr>
          <w:p w:rsidR="00E161D5" w:rsidRPr="00E161D5" w:rsidRDefault="00E161D5" w:rsidP="008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E161D5" w:rsidRPr="00E161D5" w:rsidRDefault="00E161D5" w:rsidP="008D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E161D5" w:rsidRPr="00E161D5" w:rsidTr="008D75FC">
        <w:trPr>
          <w:jc w:val="center"/>
        </w:trPr>
        <w:tc>
          <w:tcPr>
            <w:tcW w:w="1560" w:type="dxa"/>
          </w:tcPr>
          <w:p w:rsidR="00E161D5" w:rsidRPr="00E161D5" w:rsidRDefault="00E161D5" w:rsidP="008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E161D5" w:rsidRPr="00E161D5" w:rsidRDefault="00E161D5" w:rsidP="008D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E161D5" w:rsidRPr="00E161D5" w:rsidTr="008D75FC">
        <w:trPr>
          <w:jc w:val="center"/>
        </w:trPr>
        <w:tc>
          <w:tcPr>
            <w:tcW w:w="1560" w:type="dxa"/>
          </w:tcPr>
          <w:p w:rsidR="00E161D5" w:rsidRPr="00E161D5" w:rsidRDefault="00E161D5" w:rsidP="008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E161D5" w:rsidRPr="00E161D5" w:rsidRDefault="00E161D5" w:rsidP="008D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E161D5" w:rsidRPr="00E161D5" w:rsidTr="008D75FC">
        <w:trPr>
          <w:jc w:val="center"/>
        </w:trPr>
        <w:tc>
          <w:tcPr>
            <w:tcW w:w="1560" w:type="dxa"/>
          </w:tcPr>
          <w:p w:rsidR="00E161D5" w:rsidRPr="00E161D5" w:rsidRDefault="00E161D5" w:rsidP="008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E161D5" w:rsidRPr="00E161D5" w:rsidRDefault="00E161D5" w:rsidP="008D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E161D5" w:rsidRPr="00E161D5" w:rsidTr="008D75FC">
        <w:trPr>
          <w:jc w:val="center"/>
        </w:trPr>
        <w:tc>
          <w:tcPr>
            <w:tcW w:w="1560" w:type="dxa"/>
          </w:tcPr>
          <w:p w:rsidR="00E161D5" w:rsidRPr="00E161D5" w:rsidRDefault="00E161D5" w:rsidP="008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E161D5" w:rsidRPr="00E161D5" w:rsidRDefault="00E161D5" w:rsidP="008D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E161D5" w:rsidRPr="00E161D5" w:rsidTr="008D75FC">
        <w:trPr>
          <w:jc w:val="center"/>
        </w:trPr>
        <w:tc>
          <w:tcPr>
            <w:tcW w:w="1560" w:type="dxa"/>
          </w:tcPr>
          <w:p w:rsidR="00E161D5" w:rsidRPr="00E161D5" w:rsidRDefault="00E161D5" w:rsidP="008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E161D5" w:rsidRPr="00E161D5" w:rsidRDefault="00E161D5" w:rsidP="008D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E161D5" w:rsidRPr="00E161D5" w:rsidTr="008D75FC">
        <w:trPr>
          <w:jc w:val="center"/>
        </w:trPr>
        <w:tc>
          <w:tcPr>
            <w:tcW w:w="1560" w:type="dxa"/>
          </w:tcPr>
          <w:p w:rsidR="00E161D5" w:rsidRPr="00E161D5" w:rsidRDefault="00E161D5" w:rsidP="008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E161D5" w:rsidRPr="00E161D5" w:rsidRDefault="00E161D5" w:rsidP="008D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Ненецкий А.О.</w:t>
            </w:r>
          </w:p>
        </w:tc>
      </w:tr>
      <w:tr w:rsidR="00E161D5" w:rsidRPr="00E161D5" w:rsidTr="008D75FC">
        <w:trPr>
          <w:jc w:val="center"/>
        </w:trPr>
        <w:tc>
          <w:tcPr>
            <w:tcW w:w="1560" w:type="dxa"/>
          </w:tcPr>
          <w:p w:rsidR="00E161D5" w:rsidRPr="00E161D5" w:rsidRDefault="00E161D5" w:rsidP="008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E161D5" w:rsidRPr="00E161D5" w:rsidRDefault="00E161D5" w:rsidP="008D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Ханты-Мансийский А.О.</w:t>
            </w:r>
          </w:p>
        </w:tc>
      </w:tr>
      <w:tr w:rsidR="00E161D5" w:rsidRPr="00E161D5" w:rsidTr="008D75FC">
        <w:trPr>
          <w:jc w:val="center"/>
        </w:trPr>
        <w:tc>
          <w:tcPr>
            <w:tcW w:w="1560" w:type="dxa"/>
          </w:tcPr>
          <w:p w:rsidR="00E161D5" w:rsidRPr="00E161D5" w:rsidRDefault="00E161D5" w:rsidP="008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E161D5" w:rsidRPr="00E161D5" w:rsidRDefault="00E161D5" w:rsidP="008D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Ямало-Ненецкий А.О</w:t>
            </w:r>
          </w:p>
        </w:tc>
      </w:tr>
    </w:tbl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1D5" w:rsidRPr="00E161D5" w:rsidRDefault="00E161D5" w:rsidP="00F34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за последние два года в структуре и объемах региональных бюджетов наметилась некоторая положительная динамика. </w:t>
      </w:r>
      <w:r w:rsidR="00F3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итоги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 бюджетов субъектов РФ за 2016 г.</w:t>
      </w:r>
      <w:r w:rsidR="00F3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можем отметить, что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доходы консолидированных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бюджетов выросли на 6,6%. </w:t>
      </w:r>
      <w:r w:rsidR="00F3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Увеличилось количество субъектов Федерации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доход</w:t>
      </w:r>
      <w:r w:rsidR="00F3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часть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превысили уровень предыдущего года </w:t>
      </w:r>
      <w:r w:rsidR="00F3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F3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55</w:t>
      </w:r>
      <w:r w:rsidR="00F3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прошлом году)</w:t>
      </w:r>
      <w:r w:rsidR="00027AA4" w:rsidRPr="0002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[2]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Высокие темпы роста доходов</w:t>
      </w:r>
      <w:r w:rsidR="00F3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региональных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бюджетов в </w:t>
      </w:r>
      <w:r w:rsidR="00F3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F3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привели к тому, что был достигнут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максимальный уровень за последни</w:t>
      </w:r>
      <w:r w:rsidR="00F3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4 года, а именно - 11,55% ВВП.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источниками роста </w:t>
      </w:r>
      <w:r w:rsidR="00743BBC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региональных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в 2016 г. стали</w:t>
      </w:r>
      <w:r w:rsidR="0074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 на прибыль организаций - 118,6%, акцизы - 141,3</w:t>
      </w:r>
      <w:r w:rsidR="00F3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налоги на имущество - 107,4 %, а также безвозмездные </w:t>
      </w:r>
      <w:r w:rsidR="0074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трансфертные поступления из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бюджетов других уровней - 105,1 %</w:t>
      </w:r>
      <w:r w:rsidR="00027AA4" w:rsidRPr="0002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[2]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обратить внимание на НДФЛ, который является основным источником доходов региональных бюджетов</w:t>
      </w:r>
      <w:r w:rsidR="0074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в 2016 году он составил 30,4% общего объема доходов консолидированных бюджетов и это несмотря на произошедшее снижение темпов роста его поступлений. Данная динамика определялась темпами р</w:t>
      </w:r>
      <w:r w:rsidR="0074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 налоговой базы НДФЛ, которая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начала 2016 г. стала увеличиваться. 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вышеприведённые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можем сделать вывод о том, что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средние темпы роста собственных доходов 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региональных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бюджетов РФ в 2016 г. составили 1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08,7% к уровню 2015 г (рисунок 1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Стабильный </w:t>
      </w:r>
      <w:r w:rsidR="0074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динамичный 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бюджетов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РФ сдерживает ряд факторов: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низкие поступления транспортного налога - 99,4% 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сравнению с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г., земельного налога - 95,3%, неналоговых доходов - 102,2%, а также сократившиеся безвозмездные 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трансферты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бюджетов других уровней - 97,6%. 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9FF90F" wp14:editId="33228D17">
            <wp:extent cx="5438775" cy="2038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61D5" w:rsidRPr="00027AA4" w:rsidRDefault="00027AA4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</w:t>
      </w:r>
      <w:r w:rsidRPr="0002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Темпы роста общего объема доходов консолидированных бюджетов субъектов РФ,</w:t>
      </w:r>
      <w:r w:rsidR="008B1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5E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[3]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смотреть в территориальном разрезе, то здесь ситуация выглядит достаточно неоднозначно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 из федеральных округов 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Центрального), 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1-3 региона 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которых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2016 г.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уровня 2015 г. 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Рассматривая дифференциацию динамики доходов региональных бюджетов можно отметить, что более высокие темпы роста доходов наблюдаются у 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обеспеченных регионов (Таблица 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2014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</w:t>
      </w:r>
      <w:r w:rsidR="00DD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ситуация была </w:t>
      </w:r>
      <w:r w:rsidR="000B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противоположной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бюджетные доходы регионов-доноров росли</w:t>
      </w:r>
      <w:r w:rsidR="000B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</w:t>
      </w:r>
      <w:r w:rsidR="000B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темпами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в </w:t>
      </w:r>
      <w:r w:rsidR="000B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дотационных субъектах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161D5" w:rsidRPr="00027AA4" w:rsidRDefault="000B01AC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Дотационные субъекты РФ в 2016 году</w:t>
      </w:r>
      <w:r w:rsidR="00027AA4" w:rsidRPr="0002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5884"/>
        <w:gridCol w:w="3300"/>
      </w:tblGrid>
      <w:tr w:rsidR="00E161D5" w:rsidRPr="00E161D5" w:rsidTr="005C6C39">
        <w:tc>
          <w:tcPr>
            <w:tcW w:w="675" w:type="dxa"/>
          </w:tcPr>
          <w:p w:rsidR="00E161D5" w:rsidRPr="00E161D5" w:rsidRDefault="00E161D5" w:rsidP="000B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83" w:type="dxa"/>
          </w:tcPr>
          <w:p w:rsidR="00E161D5" w:rsidRPr="00E161D5" w:rsidRDefault="00E161D5" w:rsidP="000B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3379" w:type="dxa"/>
          </w:tcPr>
          <w:p w:rsidR="00E161D5" w:rsidRPr="00E161D5" w:rsidRDefault="00E161D5" w:rsidP="000B01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Дотации из федерального бюджета, млрд. руб</w:t>
            </w:r>
          </w:p>
        </w:tc>
      </w:tr>
      <w:tr w:rsidR="00E161D5" w:rsidRPr="00E161D5" w:rsidTr="005C6C39">
        <w:tc>
          <w:tcPr>
            <w:tcW w:w="675" w:type="dxa"/>
          </w:tcPr>
          <w:p w:rsidR="00E161D5" w:rsidRPr="00E161D5" w:rsidRDefault="00E161D5" w:rsidP="000B0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3" w:type="dxa"/>
          </w:tcPr>
          <w:p w:rsidR="00E161D5" w:rsidRPr="00E161D5" w:rsidRDefault="00E161D5" w:rsidP="000B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3379" w:type="dxa"/>
          </w:tcPr>
          <w:p w:rsidR="00E161D5" w:rsidRPr="00E161D5" w:rsidRDefault="00E161D5" w:rsidP="000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E161D5" w:rsidRPr="00E161D5" w:rsidTr="005C6C39">
        <w:tc>
          <w:tcPr>
            <w:tcW w:w="675" w:type="dxa"/>
          </w:tcPr>
          <w:p w:rsidR="00E161D5" w:rsidRPr="00E161D5" w:rsidRDefault="00E161D5" w:rsidP="000B0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3" w:type="dxa"/>
          </w:tcPr>
          <w:p w:rsidR="00E161D5" w:rsidRPr="00E161D5" w:rsidRDefault="00E161D5" w:rsidP="000B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379" w:type="dxa"/>
          </w:tcPr>
          <w:p w:rsidR="00E161D5" w:rsidRPr="00E161D5" w:rsidRDefault="00E161D5" w:rsidP="000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E161D5" w:rsidRPr="00E161D5" w:rsidTr="005C6C39">
        <w:tc>
          <w:tcPr>
            <w:tcW w:w="675" w:type="dxa"/>
          </w:tcPr>
          <w:p w:rsidR="00E161D5" w:rsidRPr="00E161D5" w:rsidRDefault="00E161D5" w:rsidP="000B0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3" w:type="dxa"/>
          </w:tcPr>
          <w:p w:rsidR="00E161D5" w:rsidRPr="00E161D5" w:rsidRDefault="00E161D5" w:rsidP="000B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3379" w:type="dxa"/>
          </w:tcPr>
          <w:p w:rsidR="00E161D5" w:rsidRPr="00E161D5" w:rsidRDefault="00E161D5" w:rsidP="000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E161D5" w:rsidRPr="00E161D5" w:rsidTr="005C6C39">
        <w:tc>
          <w:tcPr>
            <w:tcW w:w="675" w:type="dxa"/>
          </w:tcPr>
          <w:p w:rsidR="00E161D5" w:rsidRPr="00E161D5" w:rsidRDefault="00E161D5" w:rsidP="000B0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3" w:type="dxa"/>
          </w:tcPr>
          <w:p w:rsidR="00E161D5" w:rsidRPr="00E161D5" w:rsidRDefault="00E161D5" w:rsidP="000B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379" w:type="dxa"/>
          </w:tcPr>
          <w:p w:rsidR="00E161D5" w:rsidRPr="00E161D5" w:rsidRDefault="00E161D5" w:rsidP="000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E161D5" w:rsidRPr="00E161D5" w:rsidTr="005C6C39">
        <w:tc>
          <w:tcPr>
            <w:tcW w:w="675" w:type="dxa"/>
          </w:tcPr>
          <w:p w:rsidR="00E161D5" w:rsidRPr="00E161D5" w:rsidRDefault="00E161D5" w:rsidP="000B0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3" w:type="dxa"/>
          </w:tcPr>
          <w:p w:rsidR="00E161D5" w:rsidRPr="00E161D5" w:rsidRDefault="00E161D5" w:rsidP="000B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3379" w:type="dxa"/>
          </w:tcPr>
          <w:p w:rsidR="00E161D5" w:rsidRPr="00E161D5" w:rsidRDefault="00E161D5" w:rsidP="000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161D5" w:rsidRPr="00E161D5" w:rsidTr="005C6C39">
        <w:tc>
          <w:tcPr>
            <w:tcW w:w="675" w:type="dxa"/>
          </w:tcPr>
          <w:p w:rsidR="00E161D5" w:rsidRPr="00E161D5" w:rsidRDefault="00E161D5" w:rsidP="000B0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3" w:type="dxa"/>
          </w:tcPr>
          <w:p w:rsidR="00E161D5" w:rsidRPr="00E161D5" w:rsidRDefault="00E161D5" w:rsidP="000B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3379" w:type="dxa"/>
          </w:tcPr>
          <w:p w:rsidR="00E161D5" w:rsidRPr="00E161D5" w:rsidRDefault="00E161D5" w:rsidP="000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161D5" w:rsidRPr="00E161D5" w:rsidTr="005C6C39">
        <w:tc>
          <w:tcPr>
            <w:tcW w:w="675" w:type="dxa"/>
          </w:tcPr>
          <w:p w:rsidR="00E161D5" w:rsidRPr="00E161D5" w:rsidRDefault="00E161D5" w:rsidP="000B0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3" w:type="dxa"/>
          </w:tcPr>
          <w:p w:rsidR="00E161D5" w:rsidRPr="00E161D5" w:rsidRDefault="00E161D5" w:rsidP="000B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3379" w:type="dxa"/>
          </w:tcPr>
          <w:p w:rsidR="00E161D5" w:rsidRPr="00E161D5" w:rsidRDefault="00E161D5" w:rsidP="000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E161D5" w:rsidRPr="00E161D5" w:rsidTr="005C6C39">
        <w:tc>
          <w:tcPr>
            <w:tcW w:w="675" w:type="dxa"/>
          </w:tcPr>
          <w:p w:rsidR="00E161D5" w:rsidRPr="00E161D5" w:rsidRDefault="00E161D5" w:rsidP="000B0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3" w:type="dxa"/>
          </w:tcPr>
          <w:p w:rsidR="00E161D5" w:rsidRPr="00E161D5" w:rsidRDefault="00E161D5" w:rsidP="000B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3379" w:type="dxa"/>
          </w:tcPr>
          <w:p w:rsidR="00E161D5" w:rsidRPr="00E161D5" w:rsidRDefault="00E161D5" w:rsidP="000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E161D5" w:rsidRPr="00E161D5" w:rsidTr="005C6C39">
        <w:tc>
          <w:tcPr>
            <w:tcW w:w="675" w:type="dxa"/>
          </w:tcPr>
          <w:p w:rsidR="00E161D5" w:rsidRPr="00E161D5" w:rsidRDefault="00E161D5" w:rsidP="000B0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3" w:type="dxa"/>
          </w:tcPr>
          <w:p w:rsidR="00E161D5" w:rsidRPr="00E161D5" w:rsidRDefault="00E161D5" w:rsidP="000B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379" w:type="dxa"/>
          </w:tcPr>
          <w:p w:rsidR="00E161D5" w:rsidRPr="00E161D5" w:rsidRDefault="00E161D5" w:rsidP="000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E161D5" w:rsidRPr="00E161D5" w:rsidTr="005C6C39">
        <w:tc>
          <w:tcPr>
            <w:tcW w:w="675" w:type="dxa"/>
          </w:tcPr>
          <w:p w:rsidR="00E161D5" w:rsidRPr="00E161D5" w:rsidRDefault="00E161D5" w:rsidP="000B0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3" w:type="dxa"/>
          </w:tcPr>
          <w:p w:rsidR="00E161D5" w:rsidRPr="00E161D5" w:rsidRDefault="00E161D5" w:rsidP="000B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379" w:type="dxa"/>
          </w:tcPr>
          <w:p w:rsidR="00E161D5" w:rsidRPr="00E161D5" w:rsidRDefault="00E161D5" w:rsidP="000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0B01AC" w:rsidRDefault="000B01AC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1D5" w:rsidRPr="00E161D5" w:rsidRDefault="000B01AC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расходной части бюджетов, то можно отметить, что о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бщий рост расходов консолидированных бюджетов субъект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РФ в 2016 г. составил 104,8% (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уровня индекса потребительский цен - 105,4%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Относительно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быстрые темпы 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показали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расходы на транспорт - 109,1%, благоустройство - 123,9%,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дорожное хозяйство - 117,1%, 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 - 109,9%, социальную политику - 110,5%, а также физкультуру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 - 109,7%. Одновременно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расходы на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рыболовств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составили 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- 88,4%, образование - 103,0%, здравоохранение - 94,5% и обслуживание государственного долга - 103,2%,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т.е. 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росли относительно более низкими темпами</w:t>
      </w:r>
      <w:r w:rsidR="00027AA4" w:rsidRPr="0002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[2]</w:t>
      </w:r>
      <w:r w:rsidR="00E161D5"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отсутствие бюджетных доходов в необходимых объемах, не позволяет региональным органам власти в достаточной мере обеспечивать самостоятельность принятия решений по во</w:t>
      </w:r>
      <w:r w:rsidR="000B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просам регионального управления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Бюджетный дефицит региональных образований в первую очередь влияет на сокращение инвестиционных расходов, что в результате снижает социально-экономический потенциал субъекта Федерации.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ряд проблем, которые связаны с формированием доходной части регионального бюджета: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Наличие системных рисков исполнения бюджета, которые связанны с замедлением темпов экономического роста, возможными кризисными проявлениями на мировых рынках, </w:t>
      </w:r>
      <w:r w:rsidR="005E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сложной политической ситуацией,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высокой степенью зависимости отечественной экономики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внешнеэкономической конъюнктуры, ограниченными внутр</w:t>
      </w:r>
      <w:r w:rsidR="000B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енними финансовыми ресурсами и отсутствием развитой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финансовой инфраструктуры;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Невысокое качество </w:t>
      </w:r>
      <w:r w:rsidR="000B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существующих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макроэкономических прогнозов, </w:t>
      </w:r>
      <w:r w:rsidR="000B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проявляется в существенных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расхождениях динамики прогнозных и </w:t>
      </w:r>
      <w:r w:rsidR="0092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реальных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макроэкономических показателей </w:t>
      </w:r>
      <w:r w:rsidR="0092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</w:t>
      </w:r>
      <w:r w:rsidR="005E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целого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="0092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Риск неисполнения </w:t>
      </w:r>
      <w:r w:rsidR="005E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«майских»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указов Президента РФ 2012 г</w:t>
      </w:r>
      <w:r w:rsidR="005E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2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говорит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негативная динамика </w:t>
      </w:r>
      <w:r w:rsidR="0092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</w:t>
      </w:r>
      <w:r w:rsidR="00D0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экономической системы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(производительность труда, инвестиции в основной капитал и т.д.);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Отсутствие достаточного финансирования реализации федеральных целевых программ;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Риск </w:t>
      </w:r>
      <w:r w:rsidR="00D0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поддержания стабильности и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устойчивости территориальных бюджетов, который связан с </w:t>
      </w:r>
      <w:r w:rsidR="00D0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возрастающим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объемом долговых обязательств </w:t>
      </w:r>
      <w:r w:rsidR="00D0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регионов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постоянным уменьшением межбюджетных трансфертов;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Проблемы пополнения бюджета налоговыми поступлениями, отсутствие реальных стимулов к увеличению собираемости налогов</w:t>
      </w:r>
      <w:r w:rsidR="005E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(сложная экономическая ситуация, «кадровый голод) в налоговых службах, коррупция);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Неравномерность распределения межбюджетных субсидий, большое количество дотационных регионов;</w:t>
      </w:r>
    </w:p>
    <w:p w:rsidR="00E161D5" w:rsidRP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Неэффективное расходование бюджет</w:t>
      </w:r>
      <w:r w:rsidR="0092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средств на уровне регионов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т. ч., </w:t>
      </w:r>
      <w:r w:rsidR="0092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тех, которые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2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ступают в качестве трансфертов из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вышестоящего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бюджета.</w:t>
      </w:r>
    </w:p>
    <w:p w:rsidR="00E161D5" w:rsidRDefault="00E161D5" w:rsidP="008D75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это снижает прозрачность бюджета, не позволяет достигать его сбалансированности и требует </w:t>
      </w:r>
      <w:r w:rsidR="005E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внедрения инновационных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регулирования межбюджетных отношений</w:t>
      </w:r>
      <w:r w:rsidR="005E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способствующих 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</w:t>
      </w:r>
      <w:r w:rsidR="005E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1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эффективности.</w:t>
      </w:r>
    </w:p>
    <w:p w:rsidR="00027AA4" w:rsidRDefault="00027AA4" w:rsidP="00027A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AA4" w:rsidRPr="008B1417" w:rsidRDefault="00027AA4" w:rsidP="00027A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925E0E" w:rsidRPr="00027AA4" w:rsidRDefault="00027AA4" w:rsidP="00027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25E0E" w:rsidRPr="00027AA4">
        <w:rPr>
          <w:rFonts w:ascii="Times New Roman" w:hAnsi="Times New Roman" w:cs="Times New Roman"/>
          <w:sz w:val="24"/>
          <w:szCs w:val="24"/>
        </w:rPr>
        <w:t>Печенская, М.А. Региональные бюджеты: тенденции,</w:t>
      </w:r>
      <w:r w:rsidRPr="00027AA4">
        <w:rPr>
          <w:rFonts w:ascii="Times New Roman" w:hAnsi="Times New Roman" w:cs="Times New Roman"/>
          <w:sz w:val="24"/>
          <w:szCs w:val="24"/>
        </w:rPr>
        <w:t xml:space="preserve"> состояние, перспективы [Текст]</w:t>
      </w:r>
      <w:r w:rsidR="00925E0E" w:rsidRPr="00027AA4">
        <w:rPr>
          <w:rFonts w:ascii="Times New Roman" w:hAnsi="Times New Roman" w:cs="Times New Roman"/>
          <w:sz w:val="24"/>
          <w:szCs w:val="24"/>
        </w:rPr>
        <w:t>: монография / М.А. Печенская, А.И. Поварова; под науч. рук. д.э.н., про</w:t>
      </w:r>
      <w:r w:rsidR="00747308">
        <w:rPr>
          <w:rFonts w:ascii="Times New Roman" w:hAnsi="Times New Roman" w:cs="Times New Roman"/>
          <w:sz w:val="24"/>
          <w:szCs w:val="24"/>
        </w:rPr>
        <w:t>ф. В.А. Ильина. – Вологда</w:t>
      </w:r>
      <w:r w:rsidR="00925E0E" w:rsidRPr="00027AA4">
        <w:rPr>
          <w:rFonts w:ascii="Times New Roman" w:hAnsi="Times New Roman" w:cs="Times New Roman"/>
          <w:sz w:val="24"/>
          <w:szCs w:val="24"/>
        </w:rPr>
        <w:t>: ИСЭРТ РАН, 2016</w:t>
      </w:r>
      <w:r w:rsidRPr="00027AA4">
        <w:rPr>
          <w:rFonts w:ascii="Times New Roman" w:hAnsi="Times New Roman" w:cs="Times New Roman"/>
          <w:sz w:val="24"/>
          <w:szCs w:val="24"/>
        </w:rPr>
        <w:t>.</w:t>
      </w:r>
    </w:p>
    <w:p w:rsidR="008D75FC" w:rsidRPr="00027AA4" w:rsidRDefault="00027AA4" w:rsidP="00027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A4">
        <w:rPr>
          <w:rFonts w:ascii="Times New Roman" w:hAnsi="Times New Roman" w:cs="Times New Roman"/>
          <w:sz w:val="24"/>
          <w:szCs w:val="24"/>
        </w:rPr>
        <w:t xml:space="preserve">2. </w:t>
      </w:r>
      <w:r w:rsidR="008D75FC" w:rsidRPr="00027AA4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r w:rsidRPr="00027AA4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8D75FC" w:rsidRPr="00027AA4">
        <w:rPr>
          <w:rFonts w:ascii="Times New Roman" w:hAnsi="Times New Roman" w:cs="Times New Roman"/>
          <w:sz w:val="24"/>
          <w:szCs w:val="24"/>
        </w:rPr>
        <w:t>-</w:t>
      </w:r>
      <w:r w:rsidR="007473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47308">
        <w:rPr>
          <w:rFonts w:ascii="Times New Roman" w:hAnsi="Times New Roman" w:cs="Times New Roman"/>
          <w:sz w:val="24"/>
          <w:szCs w:val="24"/>
        </w:rPr>
        <w:t>:</w:t>
      </w:r>
      <w:r w:rsidR="008D75FC" w:rsidRPr="00027AA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27AA4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27AA4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Pr="00027AA4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minfin</w:t>
        </w:r>
        <w:r w:rsidRPr="00027AA4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027AA4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27AA4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  <w:r w:rsidRPr="00027AA4">
        <w:rPr>
          <w:rFonts w:ascii="Times New Roman" w:hAnsi="Times New Roman" w:cs="Times New Roman"/>
          <w:sz w:val="24"/>
          <w:szCs w:val="24"/>
        </w:rPr>
        <w:t xml:space="preserve"> - дата обращения 24.10.2017.</w:t>
      </w:r>
    </w:p>
    <w:p w:rsidR="008D75FC" w:rsidRPr="00027AA4" w:rsidRDefault="00027AA4" w:rsidP="00027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A4">
        <w:rPr>
          <w:rFonts w:ascii="Times New Roman" w:hAnsi="Times New Roman" w:cs="Times New Roman"/>
          <w:sz w:val="24"/>
          <w:szCs w:val="24"/>
        </w:rPr>
        <w:t xml:space="preserve">3. Официальный сайт </w:t>
      </w:r>
      <w:r w:rsidR="008D75FC" w:rsidRPr="00027AA4">
        <w:rPr>
          <w:rFonts w:ascii="Times New Roman" w:hAnsi="Times New Roman" w:cs="Times New Roman"/>
          <w:sz w:val="24"/>
          <w:szCs w:val="24"/>
        </w:rPr>
        <w:t>Федерального Казначейства</w:t>
      </w:r>
      <w:r w:rsidRPr="00027AA4">
        <w:rPr>
          <w:rFonts w:ascii="Times New Roman" w:hAnsi="Times New Roman" w:cs="Times New Roman"/>
          <w:sz w:val="24"/>
          <w:szCs w:val="24"/>
        </w:rPr>
        <w:t xml:space="preserve"> Российской Федерации [Электронный ресурс] – </w:t>
      </w:r>
      <w:r w:rsidR="007473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47308">
        <w:rPr>
          <w:rFonts w:ascii="Times New Roman" w:hAnsi="Times New Roman" w:cs="Times New Roman"/>
          <w:sz w:val="24"/>
          <w:szCs w:val="24"/>
        </w:rPr>
        <w:t xml:space="preserve">: </w:t>
      </w:r>
      <w:r w:rsidRPr="00027AA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27AA4">
        <w:rPr>
          <w:rFonts w:ascii="Times New Roman" w:hAnsi="Times New Roman" w:cs="Times New Roman"/>
          <w:sz w:val="24"/>
          <w:szCs w:val="24"/>
        </w:rPr>
        <w:t>//roskazna.ru/ - дата обращения 24.10.2017.</w:t>
      </w:r>
    </w:p>
    <w:p w:rsidR="00306A90" w:rsidRPr="00E161D5" w:rsidRDefault="00306A90" w:rsidP="008D75FC">
      <w:pPr>
        <w:spacing w:line="360" w:lineRule="auto"/>
        <w:rPr>
          <w:sz w:val="24"/>
          <w:szCs w:val="24"/>
        </w:rPr>
      </w:pPr>
    </w:p>
    <w:sectPr w:rsidR="00306A90" w:rsidRPr="00E161D5" w:rsidSect="00E161D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17" w:rsidRDefault="004B6317" w:rsidP="00E161D5">
      <w:pPr>
        <w:spacing w:after="0" w:line="240" w:lineRule="auto"/>
      </w:pPr>
      <w:r>
        <w:separator/>
      </w:r>
    </w:p>
  </w:endnote>
  <w:endnote w:type="continuationSeparator" w:id="0">
    <w:p w:rsidR="004B6317" w:rsidRDefault="004B6317" w:rsidP="00E1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087344"/>
      <w:docPartObj>
        <w:docPartGallery w:val="Page Numbers (Bottom of Page)"/>
        <w:docPartUnique/>
      </w:docPartObj>
    </w:sdtPr>
    <w:sdtEndPr/>
    <w:sdtContent>
      <w:p w:rsidR="008D75FC" w:rsidRDefault="008D75F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17">
          <w:rPr>
            <w:noProof/>
          </w:rPr>
          <w:t>4</w:t>
        </w:r>
        <w:r>
          <w:fldChar w:fldCharType="end"/>
        </w:r>
      </w:p>
    </w:sdtContent>
  </w:sdt>
  <w:p w:rsidR="008D75FC" w:rsidRDefault="008D75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17" w:rsidRDefault="004B6317" w:rsidP="00E161D5">
      <w:pPr>
        <w:spacing w:after="0" w:line="240" w:lineRule="auto"/>
      </w:pPr>
      <w:r>
        <w:separator/>
      </w:r>
    </w:p>
  </w:footnote>
  <w:footnote w:type="continuationSeparator" w:id="0">
    <w:p w:rsidR="004B6317" w:rsidRDefault="004B6317" w:rsidP="00E16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5"/>
    <w:rsid w:val="00027AA4"/>
    <w:rsid w:val="000B01AC"/>
    <w:rsid w:val="001E64A3"/>
    <w:rsid w:val="00306A90"/>
    <w:rsid w:val="0037541F"/>
    <w:rsid w:val="003A2A9A"/>
    <w:rsid w:val="004674F3"/>
    <w:rsid w:val="004B6317"/>
    <w:rsid w:val="004E1B65"/>
    <w:rsid w:val="005E0BF9"/>
    <w:rsid w:val="005E4380"/>
    <w:rsid w:val="006401F4"/>
    <w:rsid w:val="00693851"/>
    <w:rsid w:val="006D57F5"/>
    <w:rsid w:val="00743BBC"/>
    <w:rsid w:val="00747308"/>
    <w:rsid w:val="007A04A1"/>
    <w:rsid w:val="007E2AC5"/>
    <w:rsid w:val="007F5753"/>
    <w:rsid w:val="00830500"/>
    <w:rsid w:val="008B1417"/>
    <w:rsid w:val="008D75FC"/>
    <w:rsid w:val="00925E0E"/>
    <w:rsid w:val="0093433F"/>
    <w:rsid w:val="009A3A26"/>
    <w:rsid w:val="009E31CB"/>
    <w:rsid w:val="00A165B5"/>
    <w:rsid w:val="00A61D5C"/>
    <w:rsid w:val="00A97F42"/>
    <w:rsid w:val="00B529F8"/>
    <w:rsid w:val="00B94F77"/>
    <w:rsid w:val="00BF56C1"/>
    <w:rsid w:val="00C26AA3"/>
    <w:rsid w:val="00C34143"/>
    <w:rsid w:val="00C70496"/>
    <w:rsid w:val="00CB1153"/>
    <w:rsid w:val="00CF0B54"/>
    <w:rsid w:val="00D04823"/>
    <w:rsid w:val="00D84CC3"/>
    <w:rsid w:val="00DA589C"/>
    <w:rsid w:val="00DD1F9E"/>
    <w:rsid w:val="00E161D5"/>
    <w:rsid w:val="00F22B37"/>
    <w:rsid w:val="00F236D5"/>
    <w:rsid w:val="00F34D16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4BEFD-8FCB-472C-B584-04D446A6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1D5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E161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61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61D5"/>
    <w:rPr>
      <w:vertAlign w:val="superscript"/>
    </w:rPr>
  </w:style>
  <w:style w:type="table" w:styleId="a7">
    <w:name w:val="Table Grid"/>
    <w:basedOn w:val="a1"/>
    <w:uiPriority w:val="59"/>
    <w:rsid w:val="00E1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1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61D5"/>
  </w:style>
  <w:style w:type="paragraph" w:customStyle="1" w:styleId="ConsPlusNormal">
    <w:name w:val="ConsPlusNormal"/>
    <w:rsid w:val="00E1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E16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75FC"/>
  </w:style>
  <w:style w:type="paragraph" w:styleId="ac">
    <w:name w:val="footer"/>
    <w:basedOn w:val="a"/>
    <w:link w:val="ad"/>
    <w:uiPriority w:val="99"/>
    <w:unhideWhenUsed/>
    <w:rsid w:val="008D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75FC"/>
  </w:style>
  <w:style w:type="paragraph" w:styleId="ae">
    <w:name w:val="No Spacing"/>
    <w:uiPriority w:val="1"/>
    <w:qFormat/>
    <w:rsid w:val="0002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027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infi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</c:v>
                </c:pt>
              </c:strCache>
            </c:strRef>
          </c:tx>
          <c:cat>
            <c:numRef>
              <c:f>Лист1!$A$2:$A$14</c:f>
              <c:numCache>
                <c:formatCode>mmm\-yy</c:formatCode>
                <c:ptCount val="13"/>
                <c:pt idx="0">
                  <c:v>41821</c:v>
                </c:pt>
                <c:pt idx="1">
                  <c:v>41883</c:v>
                </c:pt>
                <c:pt idx="2">
                  <c:v>41944</c:v>
                </c:pt>
                <c:pt idx="3">
                  <c:v>41944</c:v>
                </c:pt>
                <c:pt idx="4">
                  <c:v>42005</c:v>
                </c:pt>
                <c:pt idx="5">
                  <c:v>42156</c:v>
                </c:pt>
                <c:pt idx="6">
                  <c:v>42125</c:v>
                </c:pt>
                <c:pt idx="7">
                  <c:v>42186</c:v>
                </c:pt>
                <c:pt idx="8">
                  <c:v>42248</c:v>
                </c:pt>
                <c:pt idx="9">
                  <c:v>42309</c:v>
                </c:pt>
                <c:pt idx="10">
                  <c:v>42370</c:v>
                </c:pt>
                <c:pt idx="11">
                  <c:v>42522</c:v>
                </c:pt>
                <c:pt idx="12">
                  <c:v>42675</c:v>
                </c:pt>
              </c:numCache>
            </c:num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1.19</c:v>
                </c:pt>
                <c:pt idx="1">
                  <c:v>1.2</c:v>
                </c:pt>
                <c:pt idx="2">
                  <c:v>0.79</c:v>
                </c:pt>
                <c:pt idx="3">
                  <c:v>1.05</c:v>
                </c:pt>
                <c:pt idx="4">
                  <c:v>1.3</c:v>
                </c:pt>
                <c:pt idx="5">
                  <c:v>1.1000000000000001</c:v>
                </c:pt>
                <c:pt idx="6">
                  <c:v>1</c:v>
                </c:pt>
                <c:pt idx="7">
                  <c:v>1.1000000000000001</c:v>
                </c:pt>
                <c:pt idx="8">
                  <c:v>1.35</c:v>
                </c:pt>
                <c:pt idx="9">
                  <c:v>1.0900000000000001</c:v>
                </c:pt>
                <c:pt idx="10">
                  <c:v>0.9</c:v>
                </c:pt>
                <c:pt idx="11">
                  <c:v>1.1000000000000001</c:v>
                </c:pt>
                <c:pt idx="12">
                  <c:v>1.1499999999999999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0496856"/>
        <c:axId val="529747752"/>
      </c:lineChart>
      <c:dateAx>
        <c:axId val="53049685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529747752"/>
        <c:crosses val="autoZero"/>
        <c:auto val="1"/>
        <c:lblOffset val="100"/>
        <c:baseTimeUnit val="days"/>
      </c:dateAx>
      <c:valAx>
        <c:axId val="52974775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530496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Геннадий Исаев</cp:lastModifiedBy>
  <cp:revision>3</cp:revision>
  <dcterms:created xsi:type="dcterms:W3CDTF">2017-11-05T22:25:00Z</dcterms:created>
  <dcterms:modified xsi:type="dcterms:W3CDTF">2017-11-06T08:08:00Z</dcterms:modified>
</cp:coreProperties>
</file>