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0C01BA" w:rsidRPr="00E30093" w:rsidTr="005A3444">
        <w:trPr>
          <w:cantSplit/>
          <w:trHeight w:val="1104"/>
        </w:trPr>
        <w:tc>
          <w:tcPr>
            <w:tcW w:w="6231" w:type="dxa"/>
          </w:tcPr>
          <w:p w:rsidR="000C01BA" w:rsidRPr="00726818" w:rsidRDefault="000C01BA" w:rsidP="00CF5D6B">
            <w:pPr>
              <w:ind w:firstLine="0"/>
              <w:jc w:val="left"/>
            </w:pPr>
          </w:p>
        </w:tc>
        <w:tc>
          <w:tcPr>
            <w:tcW w:w="3974" w:type="dxa"/>
          </w:tcPr>
          <w:p w:rsidR="000C01BA" w:rsidRDefault="000C01BA" w:rsidP="00CF5D6B">
            <w:pPr>
              <w:ind w:firstLine="0"/>
              <w:jc w:val="left"/>
            </w:pPr>
            <w:r>
              <w:t>УТВЕРЖДЕНА</w:t>
            </w:r>
          </w:p>
          <w:p w:rsidR="00D172D7" w:rsidRDefault="00D172D7" w:rsidP="00D172D7">
            <w:pPr>
              <w:ind w:firstLine="0"/>
              <w:jc w:val="left"/>
            </w:pPr>
            <w:r>
              <w:t>приказом № ______________</w:t>
            </w:r>
          </w:p>
          <w:p w:rsidR="000C01BA" w:rsidRPr="00E30093" w:rsidRDefault="00D172D7" w:rsidP="00D172D7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726818" w:rsidRDefault="00726818" w:rsidP="00336FD7">
      <w:pPr>
        <w:ind w:firstLine="0"/>
      </w:pPr>
    </w:p>
    <w:p w:rsidR="00910985" w:rsidRPr="000C01BA" w:rsidRDefault="00910985" w:rsidP="00336FD7">
      <w:pPr>
        <w:ind w:firstLine="0"/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CF5D6B" w:rsidRPr="00910985" w:rsidRDefault="000C01BA" w:rsidP="007D62E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ИНСТРУКЦИЯ</w:t>
            </w:r>
            <w:r>
              <w:rPr>
                <w:sz w:val="28"/>
              </w:rPr>
              <w:br/>
            </w:r>
            <w:r w:rsidR="007D62E2">
              <w:rPr>
                <w:sz w:val="28"/>
              </w:rPr>
              <w:t>пользователя</w:t>
            </w:r>
            <w:r>
              <w:rPr>
                <w:sz w:val="28"/>
              </w:rPr>
              <w:t xml:space="preserve"> </w:t>
            </w:r>
            <w:r w:rsidR="00CF5D6B">
              <w:rPr>
                <w:sz w:val="28"/>
              </w:rPr>
              <w:t>информационн</w:t>
            </w:r>
            <w:r w:rsidR="00D172D7">
              <w:rPr>
                <w:sz w:val="28"/>
              </w:rPr>
              <w:t>ых</w:t>
            </w:r>
            <w:r w:rsidR="00CF5D6B">
              <w:rPr>
                <w:sz w:val="28"/>
              </w:rPr>
              <w:t xml:space="preserve"> систем</w:t>
            </w:r>
            <w:r w:rsidR="00D172D7">
              <w:rPr>
                <w:sz w:val="28"/>
              </w:rPr>
              <w:t xml:space="preserve"> персональных данных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0C5FB3">
      <w:pPr>
        <w:pStyle w:val="1"/>
      </w:pPr>
      <w:r w:rsidRPr="00E30093">
        <w:br w:type="page"/>
      </w:r>
    </w:p>
    <w:p w:rsidR="000C01BA" w:rsidRPr="000C01BA" w:rsidRDefault="000C01BA" w:rsidP="000C5FB3">
      <w:pPr>
        <w:pStyle w:val="1"/>
      </w:pPr>
      <w:bookmarkStart w:id="0" w:name="_Toc440988322"/>
      <w:bookmarkStart w:id="1" w:name="_Toc440988847"/>
      <w:bookmarkStart w:id="2" w:name="_Toc441065676"/>
      <w:bookmarkStart w:id="3" w:name="_Toc441145396"/>
      <w:bookmarkStart w:id="4" w:name="_Toc441245316"/>
      <w:bookmarkStart w:id="5" w:name="_Toc441245351"/>
      <w:bookmarkStart w:id="6" w:name="_Toc448219454"/>
      <w:bookmarkStart w:id="7" w:name="_Toc448232023"/>
      <w:r w:rsidRPr="000C01BA">
        <w:lastRenderedPageBreak/>
        <w:t>С</w:t>
      </w:r>
      <w:bookmarkEnd w:id="0"/>
      <w:r w:rsidRPr="000C01BA">
        <w:t>одержание</w:t>
      </w:r>
      <w:bookmarkEnd w:id="1"/>
      <w:bookmarkEnd w:id="2"/>
      <w:bookmarkEnd w:id="3"/>
      <w:bookmarkEnd w:id="4"/>
      <w:bookmarkEnd w:id="5"/>
      <w:bookmarkEnd w:id="6"/>
      <w:bookmarkEnd w:id="7"/>
    </w:p>
    <w:p w:rsidR="000C5FB3" w:rsidRDefault="000C01BA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0C01BA">
        <w:rPr>
          <w:color w:val="000000" w:themeColor="text1"/>
        </w:rPr>
        <w:fldChar w:fldCharType="begin"/>
      </w:r>
      <w:r w:rsidRPr="000C01BA">
        <w:rPr>
          <w:color w:val="000000" w:themeColor="text1"/>
        </w:rPr>
        <w:instrText xml:space="preserve"> TOC \o "1-2" \h \z \u </w:instrText>
      </w:r>
      <w:r w:rsidRPr="000C01BA">
        <w:rPr>
          <w:color w:val="000000" w:themeColor="text1"/>
        </w:rPr>
        <w:fldChar w:fldCharType="separate"/>
      </w:r>
      <w:hyperlink w:anchor="_Toc448232024" w:history="1">
        <w:r w:rsidR="000C5FB3" w:rsidRPr="00DB60D3">
          <w:rPr>
            <w:rStyle w:val="af"/>
            <w:noProof/>
          </w:rPr>
          <w:t>Обозначения и сокращения</w:t>
        </w:r>
        <w:r w:rsidR="000C5FB3">
          <w:rPr>
            <w:noProof/>
            <w:webHidden/>
          </w:rPr>
          <w:tab/>
        </w:r>
        <w:r w:rsidR="000C5FB3">
          <w:rPr>
            <w:noProof/>
            <w:webHidden/>
          </w:rPr>
          <w:fldChar w:fldCharType="begin"/>
        </w:r>
        <w:r w:rsidR="000C5FB3">
          <w:rPr>
            <w:noProof/>
            <w:webHidden/>
          </w:rPr>
          <w:instrText xml:space="preserve"> PAGEREF _Toc448232024 \h </w:instrText>
        </w:r>
        <w:r w:rsidR="000C5FB3">
          <w:rPr>
            <w:noProof/>
            <w:webHidden/>
          </w:rPr>
        </w:r>
        <w:r w:rsidR="000C5FB3">
          <w:rPr>
            <w:noProof/>
            <w:webHidden/>
          </w:rPr>
          <w:fldChar w:fldCharType="separate"/>
        </w:r>
        <w:r w:rsidR="00C171D6">
          <w:rPr>
            <w:noProof/>
            <w:webHidden/>
          </w:rPr>
          <w:t>64</w:t>
        </w:r>
        <w:r w:rsidR="000C5FB3">
          <w:rPr>
            <w:noProof/>
            <w:webHidden/>
          </w:rPr>
          <w:fldChar w:fldCharType="end"/>
        </w:r>
      </w:hyperlink>
    </w:p>
    <w:p w:rsidR="000C5FB3" w:rsidRDefault="00D524B2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2025" w:history="1">
        <w:r w:rsidR="000C5FB3" w:rsidRPr="00DB60D3">
          <w:rPr>
            <w:rStyle w:val="af"/>
            <w:noProof/>
          </w:rPr>
          <w:t>1. Общие положения</w:t>
        </w:r>
        <w:r w:rsidR="000C5FB3">
          <w:rPr>
            <w:noProof/>
            <w:webHidden/>
          </w:rPr>
          <w:tab/>
        </w:r>
        <w:r w:rsidR="000C5FB3">
          <w:rPr>
            <w:noProof/>
            <w:webHidden/>
          </w:rPr>
          <w:fldChar w:fldCharType="begin"/>
        </w:r>
        <w:r w:rsidR="000C5FB3">
          <w:rPr>
            <w:noProof/>
            <w:webHidden/>
          </w:rPr>
          <w:instrText xml:space="preserve"> PAGEREF _Toc448232025 \h </w:instrText>
        </w:r>
        <w:r w:rsidR="000C5FB3">
          <w:rPr>
            <w:noProof/>
            <w:webHidden/>
          </w:rPr>
        </w:r>
        <w:r w:rsidR="000C5FB3">
          <w:rPr>
            <w:noProof/>
            <w:webHidden/>
          </w:rPr>
          <w:fldChar w:fldCharType="separate"/>
        </w:r>
        <w:r w:rsidR="00C171D6">
          <w:rPr>
            <w:noProof/>
            <w:webHidden/>
          </w:rPr>
          <w:t>65</w:t>
        </w:r>
        <w:r w:rsidR="000C5FB3">
          <w:rPr>
            <w:noProof/>
            <w:webHidden/>
          </w:rPr>
          <w:fldChar w:fldCharType="end"/>
        </w:r>
      </w:hyperlink>
    </w:p>
    <w:p w:rsidR="000C5FB3" w:rsidRDefault="00D524B2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2026" w:history="1">
        <w:r w:rsidR="000C5FB3" w:rsidRPr="00DB60D3">
          <w:rPr>
            <w:rStyle w:val="af"/>
            <w:noProof/>
          </w:rPr>
          <w:t>2. Обязанности пользователя ИСПДн</w:t>
        </w:r>
        <w:r w:rsidR="000C5FB3">
          <w:rPr>
            <w:noProof/>
            <w:webHidden/>
          </w:rPr>
          <w:tab/>
        </w:r>
        <w:r w:rsidR="000C5FB3">
          <w:rPr>
            <w:noProof/>
            <w:webHidden/>
          </w:rPr>
          <w:fldChar w:fldCharType="begin"/>
        </w:r>
        <w:r w:rsidR="000C5FB3">
          <w:rPr>
            <w:noProof/>
            <w:webHidden/>
          </w:rPr>
          <w:instrText xml:space="preserve"> PAGEREF _Toc448232026 \h </w:instrText>
        </w:r>
        <w:r w:rsidR="000C5FB3">
          <w:rPr>
            <w:noProof/>
            <w:webHidden/>
          </w:rPr>
        </w:r>
        <w:r w:rsidR="000C5FB3">
          <w:rPr>
            <w:noProof/>
            <w:webHidden/>
          </w:rPr>
          <w:fldChar w:fldCharType="separate"/>
        </w:r>
        <w:r w:rsidR="00C171D6">
          <w:rPr>
            <w:noProof/>
            <w:webHidden/>
          </w:rPr>
          <w:t>65</w:t>
        </w:r>
        <w:r w:rsidR="000C5FB3">
          <w:rPr>
            <w:noProof/>
            <w:webHidden/>
          </w:rPr>
          <w:fldChar w:fldCharType="end"/>
        </w:r>
      </w:hyperlink>
    </w:p>
    <w:p w:rsidR="000C5FB3" w:rsidRDefault="00D524B2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2027" w:history="1">
        <w:r w:rsidR="000C5FB3" w:rsidRPr="00DB60D3">
          <w:rPr>
            <w:rStyle w:val="af"/>
            <w:noProof/>
          </w:rPr>
          <w:t>3. Организация парольной защиты</w:t>
        </w:r>
        <w:r w:rsidR="000C5FB3">
          <w:rPr>
            <w:noProof/>
            <w:webHidden/>
          </w:rPr>
          <w:tab/>
        </w:r>
        <w:r w:rsidR="000C5FB3">
          <w:rPr>
            <w:noProof/>
            <w:webHidden/>
          </w:rPr>
          <w:fldChar w:fldCharType="begin"/>
        </w:r>
        <w:r w:rsidR="000C5FB3">
          <w:rPr>
            <w:noProof/>
            <w:webHidden/>
          </w:rPr>
          <w:instrText xml:space="preserve"> PAGEREF _Toc448232027 \h </w:instrText>
        </w:r>
        <w:r w:rsidR="000C5FB3">
          <w:rPr>
            <w:noProof/>
            <w:webHidden/>
          </w:rPr>
        </w:r>
        <w:r w:rsidR="000C5FB3">
          <w:rPr>
            <w:noProof/>
            <w:webHidden/>
          </w:rPr>
          <w:fldChar w:fldCharType="separate"/>
        </w:r>
        <w:r w:rsidR="00C171D6">
          <w:rPr>
            <w:noProof/>
            <w:webHidden/>
          </w:rPr>
          <w:t>66</w:t>
        </w:r>
        <w:r w:rsidR="000C5FB3">
          <w:rPr>
            <w:noProof/>
            <w:webHidden/>
          </w:rPr>
          <w:fldChar w:fldCharType="end"/>
        </w:r>
      </w:hyperlink>
    </w:p>
    <w:p w:rsidR="000C5FB3" w:rsidRDefault="00D524B2">
      <w:pPr>
        <w:pStyle w:val="11"/>
        <w:tabs>
          <w:tab w:val="right" w:leader="dot" w:pos="1019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48232028" w:history="1">
        <w:r w:rsidR="000C5FB3" w:rsidRPr="00DB60D3">
          <w:rPr>
            <w:rStyle w:val="af"/>
            <w:noProof/>
          </w:rPr>
          <w:t>4. Правила работы в сетях общего доступа и (или) международного информационного обмена</w:t>
        </w:r>
        <w:r w:rsidR="000C5FB3">
          <w:rPr>
            <w:noProof/>
            <w:webHidden/>
          </w:rPr>
          <w:tab/>
        </w:r>
        <w:r w:rsidR="000C5FB3">
          <w:rPr>
            <w:noProof/>
            <w:webHidden/>
          </w:rPr>
          <w:fldChar w:fldCharType="begin"/>
        </w:r>
        <w:r w:rsidR="000C5FB3">
          <w:rPr>
            <w:noProof/>
            <w:webHidden/>
          </w:rPr>
          <w:instrText xml:space="preserve"> PAGEREF _Toc448232028 \h </w:instrText>
        </w:r>
        <w:r w:rsidR="000C5FB3">
          <w:rPr>
            <w:noProof/>
            <w:webHidden/>
          </w:rPr>
        </w:r>
        <w:r w:rsidR="000C5FB3">
          <w:rPr>
            <w:noProof/>
            <w:webHidden/>
          </w:rPr>
          <w:fldChar w:fldCharType="separate"/>
        </w:r>
        <w:r w:rsidR="00C171D6">
          <w:rPr>
            <w:noProof/>
            <w:webHidden/>
          </w:rPr>
          <w:t>67</w:t>
        </w:r>
        <w:r w:rsidR="000C5FB3">
          <w:rPr>
            <w:noProof/>
            <w:webHidden/>
          </w:rPr>
          <w:fldChar w:fldCharType="end"/>
        </w:r>
      </w:hyperlink>
    </w:p>
    <w:p w:rsidR="000C01BA" w:rsidRPr="000C01BA" w:rsidRDefault="000C01BA" w:rsidP="000C01BA">
      <w:pPr>
        <w:ind w:firstLine="0"/>
        <w:jc w:val="left"/>
        <w:rPr>
          <w:color w:val="000000" w:themeColor="text1"/>
        </w:rPr>
      </w:pPr>
      <w:r w:rsidRPr="000C01BA">
        <w:rPr>
          <w:color w:val="000000" w:themeColor="text1"/>
        </w:rPr>
        <w:fldChar w:fldCharType="end"/>
      </w:r>
    </w:p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0C01BA" w:rsidRPr="000C01BA" w:rsidRDefault="000C01BA" w:rsidP="000C5FB3">
      <w:pPr>
        <w:pStyle w:val="1"/>
      </w:pPr>
      <w:bookmarkStart w:id="8" w:name="_Toc448232024"/>
      <w:r w:rsidRPr="000C01BA">
        <w:lastRenderedPageBreak/>
        <w:t>Обозначения и сокращения</w:t>
      </w:r>
      <w:bookmarkEnd w:id="8"/>
    </w:p>
    <w:p w:rsidR="000C01BA" w:rsidRPr="000C01BA" w:rsidRDefault="000C01BA" w:rsidP="000C01BA">
      <w:r w:rsidRPr="000C01BA">
        <w:t>В настоящем документе применяются следующие обозначения и сокращения:</w:t>
      </w:r>
    </w:p>
    <w:p w:rsidR="000C01BA" w:rsidRPr="000C01BA" w:rsidRDefault="000C01BA" w:rsidP="000C01BA"/>
    <w:tbl>
      <w:tblPr>
        <w:tblStyle w:val="22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8068"/>
      </w:tblGrid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АРМ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автоматизированное рабочее место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ИСПДн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информационная система персональных данных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Pr="000C01BA" w:rsidRDefault="008E61EB" w:rsidP="000C01BA">
            <w:pPr>
              <w:ind w:firstLine="0"/>
              <w:jc w:val="left"/>
            </w:pPr>
            <w:r>
              <w:t>ЛВС</w:t>
            </w:r>
          </w:p>
        </w:tc>
        <w:tc>
          <w:tcPr>
            <w:tcW w:w="8068" w:type="dxa"/>
          </w:tcPr>
          <w:p w:rsidR="008E61EB" w:rsidRPr="000C01BA" w:rsidRDefault="008E61EB" w:rsidP="000C01BA">
            <w:pPr>
              <w:ind w:firstLine="0"/>
              <w:jc w:val="left"/>
            </w:pPr>
            <w:r>
              <w:t>– локальная вычислительная сеть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Default="008E61EB" w:rsidP="000C01BA">
            <w:pPr>
              <w:ind w:firstLine="0"/>
              <w:jc w:val="left"/>
            </w:pPr>
            <w:r>
              <w:t>МЭ</w:t>
            </w:r>
          </w:p>
        </w:tc>
        <w:tc>
          <w:tcPr>
            <w:tcW w:w="8068" w:type="dxa"/>
          </w:tcPr>
          <w:p w:rsidR="008E61EB" w:rsidRDefault="008E61EB" w:rsidP="000C01BA">
            <w:pPr>
              <w:ind w:firstLine="0"/>
              <w:jc w:val="left"/>
            </w:pPr>
            <w:r>
              <w:t>– межсетевой экран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НСД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несанкционированный доступ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ОС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операционная система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ПДн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персональные данные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8E61EB">
            <w:pPr>
              <w:ind w:firstLine="0"/>
              <w:jc w:val="left"/>
            </w:pPr>
            <w:r w:rsidRPr="000C01BA">
              <w:t>П</w:t>
            </w:r>
            <w:r w:rsidR="008E61EB">
              <w:t>К</w:t>
            </w:r>
          </w:p>
        </w:tc>
        <w:tc>
          <w:tcPr>
            <w:tcW w:w="8068" w:type="dxa"/>
          </w:tcPr>
          <w:p w:rsidR="000C01BA" w:rsidRPr="000C01BA" w:rsidRDefault="000C01BA" w:rsidP="008E61EB">
            <w:pPr>
              <w:ind w:firstLine="0"/>
              <w:jc w:val="left"/>
            </w:pPr>
            <w:r w:rsidRPr="000C01BA">
              <w:t xml:space="preserve">– </w:t>
            </w:r>
            <w:r w:rsidR="008E61EB">
              <w:t>персональный компьютер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Pr="000C01BA" w:rsidRDefault="008E61EB" w:rsidP="008E61EB">
            <w:pPr>
              <w:ind w:firstLine="0"/>
              <w:jc w:val="left"/>
            </w:pPr>
            <w:r>
              <w:t>ПМВ</w:t>
            </w:r>
          </w:p>
        </w:tc>
        <w:tc>
          <w:tcPr>
            <w:tcW w:w="8068" w:type="dxa"/>
          </w:tcPr>
          <w:p w:rsidR="008E61EB" w:rsidRPr="000C01BA" w:rsidRDefault="008E61EB" w:rsidP="008E61EB">
            <w:pPr>
              <w:ind w:firstLine="0"/>
              <w:jc w:val="left"/>
            </w:pPr>
            <w:r>
              <w:t>– программно-математическое воздействие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Default="008E61EB" w:rsidP="008E61EB">
            <w:pPr>
              <w:ind w:firstLine="0"/>
              <w:jc w:val="left"/>
            </w:pPr>
            <w:r>
              <w:t>ПО</w:t>
            </w:r>
          </w:p>
        </w:tc>
        <w:tc>
          <w:tcPr>
            <w:tcW w:w="8068" w:type="dxa"/>
          </w:tcPr>
          <w:p w:rsidR="008E61EB" w:rsidRDefault="008E61EB" w:rsidP="008E61EB">
            <w:pPr>
              <w:ind w:firstLine="0"/>
              <w:jc w:val="left"/>
            </w:pPr>
            <w:r>
              <w:t>– программное обеспечение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Default="008E61EB" w:rsidP="008E61EB">
            <w:pPr>
              <w:ind w:firstLine="0"/>
              <w:jc w:val="left"/>
            </w:pPr>
            <w:r>
              <w:t>ПЭМИН</w:t>
            </w:r>
          </w:p>
        </w:tc>
        <w:tc>
          <w:tcPr>
            <w:tcW w:w="8068" w:type="dxa"/>
          </w:tcPr>
          <w:p w:rsidR="008E61EB" w:rsidRDefault="008E61EB" w:rsidP="008E61EB">
            <w:pPr>
              <w:ind w:firstLine="0"/>
              <w:jc w:val="left"/>
            </w:pPr>
            <w:r>
              <w:t>– побочные электромагнитные излучения и наводки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РД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руководящие документы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САЗ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средства анализа защищенности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СЗИ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средство защиты информации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СЗПДн</w:t>
            </w:r>
          </w:p>
        </w:tc>
        <w:tc>
          <w:tcPr>
            <w:tcW w:w="8068" w:type="dxa"/>
          </w:tcPr>
          <w:p w:rsidR="000C01BA" w:rsidRPr="000C01BA" w:rsidRDefault="000C01BA" w:rsidP="000C01BA">
            <w:pPr>
              <w:ind w:firstLine="0"/>
              <w:jc w:val="left"/>
            </w:pPr>
            <w:r w:rsidRPr="000C01BA">
              <w:t>– система защиты персональных данных</w:t>
            </w:r>
          </w:p>
        </w:tc>
      </w:tr>
      <w:tr w:rsidR="000C01BA" w:rsidRPr="000C01BA" w:rsidTr="000A3023">
        <w:tc>
          <w:tcPr>
            <w:tcW w:w="1423" w:type="dxa"/>
          </w:tcPr>
          <w:p w:rsidR="000C01BA" w:rsidRPr="000C01BA" w:rsidRDefault="000C01BA" w:rsidP="008E61EB">
            <w:pPr>
              <w:ind w:firstLine="0"/>
              <w:jc w:val="left"/>
            </w:pPr>
            <w:r w:rsidRPr="000C01BA">
              <w:t>С</w:t>
            </w:r>
            <w:r w:rsidR="008E61EB">
              <w:t>ОВ</w:t>
            </w:r>
          </w:p>
        </w:tc>
        <w:tc>
          <w:tcPr>
            <w:tcW w:w="8068" w:type="dxa"/>
          </w:tcPr>
          <w:p w:rsidR="000C01BA" w:rsidRPr="000C01BA" w:rsidRDefault="000C01BA" w:rsidP="008E61EB">
            <w:pPr>
              <w:ind w:firstLine="0"/>
              <w:jc w:val="left"/>
            </w:pPr>
            <w:r w:rsidRPr="000C01BA">
              <w:t xml:space="preserve">– </w:t>
            </w:r>
            <w:r w:rsidR="008E61EB">
              <w:t>система обнаружения вторжений</w:t>
            </w:r>
          </w:p>
        </w:tc>
      </w:tr>
      <w:tr w:rsidR="008E61EB" w:rsidRPr="000C01BA" w:rsidTr="000A3023">
        <w:tc>
          <w:tcPr>
            <w:tcW w:w="1423" w:type="dxa"/>
          </w:tcPr>
          <w:p w:rsidR="008E61EB" w:rsidRPr="000C01BA" w:rsidRDefault="008E61EB" w:rsidP="008E61EB">
            <w:pPr>
              <w:ind w:firstLine="0"/>
              <w:jc w:val="left"/>
            </w:pPr>
            <w:proofErr w:type="spellStart"/>
            <w:r>
              <w:t>УБПДн</w:t>
            </w:r>
            <w:proofErr w:type="spellEnd"/>
          </w:p>
        </w:tc>
        <w:tc>
          <w:tcPr>
            <w:tcW w:w="8068" w:type="dxa"/>
          </w:tcPr>
          <w:p w:rsidR="008E61EB" w:rsidRPr="000C01BA" w:rsidRDefault="008E61EB" w:rsidP="008E61EB">
            <w:pPr>
              <w:ind w:firstLine="0"/>
              <w:jc w:val="left"/>
            </w:pPr>
            <w:r>
              <w:t>– угрозы безопасности персональных данных</w:t>
            </w:r>
          </w:p>
        </w:tc>
      </w:tr>
    </w:tbl>
    <w:p w:rsidR="000C01BA" w:rsidRPr="000C01BA" w:rsidRDefault="000C01BA" w:rsidP="000C01BA"/>
    <w:p w:rsidR="000C01BA" w:rsidRPr="000C01BA" w:rsidRDefault="000C01BA" w:rsidP="000C01BA">
      <w:pPr>
        <w:spacing w:after="160" w:line="259" w:lineRule="auto"/>
        <w:ind w:firstLine="0"/>
        <w:jc w:val="left"/>
      </w:pPr>
      <w:r w:rsidRPr="000C01BA">
        <w:br w:type="page"/>
      </w:r>
    </w:p>
    <w:p w:rsidR="00B642C0" w:rsidRDefault="008E61EB" w:rsidP="000C5FB3">
      <w:pPr>
        <w:pStyle w:val="1"/>
      </w:pPr>
      <w:bookmarkStart w:id="9" w:name="_Toc448232025"/>
      <w:r>
        <w:lastRenderedPageBreak/>
        <w:t>1. Общие положения</w:t>
      </w:r>
      <w:bookmarkEnd w:id="9"/>
    </w:p>
    <w:p w:rsidR="007D62E2" w:rsidRDefault="007D62E2" w:rsidP="00FF1718">
      <w:pPr>
        <w:spacing w:line="276" w:lineRule="auto"/>
      </w:pPr>
      <w:r>
        <w:t>1.1 Пользователь информационной системы персональных данных осуществляет обработку персональных данных.</w:t>
      </w:r>
    </w:p>
    <w:p w:rsidR="008E61EB" w:rsidRDefault="008E61EB" w:rsidP="00FF1718">
      <w:pPr>
        <w:spacing w:line="276" w:lineRule="auto"/>
      </w:pPr>
      <w:r>
        <w:t>1.</w:t>
      </w:r>
      <w:r w:rsidR="007D62E2">
        <w:t>2</w:t>
      </w:r>
      <w:r>
        <w:t xml:space="preserve"> </w:t>
      </w:r>
      <w:r w:rsidR="007D62E2">
        <w:t xml:space="preserve">Пользователем является сотрудник </w:t>
      </w:r>
      <w:r w:rsidR="00FF1718" w:rsidRPr="00FF1718">
        <w:t>ФГБОУВО «Белгородский государственный технологический университет им. В.Г. Шухова»</w:t>
      </w:r>
      <w:r w:rsidR="00D80BA7" w:rsidRPr="008E61EB">
        <w:t xml:space="preserve"> </w:t>
      </w:r>
      <w:r w:rsidRPr="008E61EB">
        <w:t>(далее – Учреждение)</w:t>
      </w:r>
      <w:r w:rsidR="007D62E2">
        <w:t>, участвующий, в рамках своих функциональных обязанностей, в процессах обработки информации, содержащей персональные данные, и имеющий доступ к аппаратным средствам, программному обеспечению и средствам защиты информации</w:t>
      </w:r>
      <w:r>
        <w:t>.</w:t>
      </w:r>
    </w:p>
    <w:p w:rsidR="008E61EB" w:rsidRDefault="008E61EB" w:rsidP="00FF1718">
      <w:pPr>
        <w:spacing w:line="276" w:lineRule="auto"/>
      </w:pPr>
      <w:r>
        <w:t>1.</w:t>
      </w:r>
      <w:r w:rsidR="007D62E2">
        <w:t>3</w:t>
      </w:r>
      <w:r>
        <w:t xml:space="preserve"> </w:t>
      </w:r>
      <w:r w:rsidR="007D62E2">
        <w:t>Пользователь несет персональную ответственность за свои действия.</w:t>
      </w:r>
    </w:p>
    <w:p w:rsidR="007D62E2" w:rsidRDefault="007D62E2" w:rsidP="00FF1718">
      <w:pPr>
        <w:spacing w:line="276" w:lineRule="auto"/>
      </w:pPr>
      <w:r>
        <w:t>1.4 Пользователь в своей работе руководствуется настоящей инструкцией, требованиями законодательства Российской Федерации, а также принятыми в Учреждении положениями, инструкциями и приказами.</w:t>
      </w:r>
    </w:p>
    <w:p w:rsidR="007D62E2" w:rsidRDefault="007D62E2" w:rsidP="00FF1718">
      <w:pPr>
        <w:spacing w:line="276" w:lineRule="auto"/>
      </w:pPr>
      <w:r>
        <w:t>1.5 Методическое руководство работой пользователя осуществляется ответственным за обеспечение безопасности персональных данных.</w:t>
      </w:r>
    </w:p>
    <w:p w:rsidR="008E61EB" w:rsidRDefault="008E61EB" w:rsidP="00FF1718">
      <w:pPr>
        <w:pStyle w:val="1"/>
        <w:spacing w:line="276" w:lineRule="auto"/>
      </w:pPr>
      <w:bookmarkStart w:id="10" w:name="_Toc448232026"/>
      <w:r>
        <w:t xml:space="preserve">2. </w:t>
      </w:r>
      <w:r w:rsidR="007E06A3">
        <w:t>О</w:t>
      </w:r>
      <w:r>
        <w:t>бязанности</w:t>
      </w:r>
      <w:r w:rsidR="007E06A3">
        <w:t xml:space="preserve"> </w:t>
      </w:r>
      <w:r w:rsidR="009506D7">
        <w:t>пользователя</w:t>
      </w:r>
      <w:r w:rsidR="007E06A3">
        <w:t xml:space="preserve"> ИСПДн</w:t>
      </w:r>
      <w:bookmarkEnd w:id="10"/>
    </w:p>
    <w:p w:rsidR="008E61EB" w:rsidRDefault="009506D7" w:rsidP="00FF1718">
      <w:pPr>
        <w:spacing w:line="276" w:lineRule="auto"/>
      </w:pPr>
      <w:r>
        <w:t>Пользователь</w:t>
      </w:r>
      <w:r w:rsidR="005D11A1">
        <w:t xml:space="preserve"> обязан:</w:t>
      </w:r>
    </w:p>
    <w:p w:rsidR="009506D7" w:rsidRDefault="009506D7" w:rsidP="00FF1718">
      <w:pPr>
        <w:spacing w:line="276" w:lineRule="auto"/>
      </w:pPr>
      <w:r>
        <w:t>2.1 Знать и выполнять требования действующих нормативных и руководящих документов, а также внутренних инструкций, положения о порядке обработки персональных данных и распоряжений, регламентирующих порядок действий по защите информации.</w:t>
      </w:r>
    </w:p>
    <w:p w:rsidR="009506D7" w:rsidRDefault="009506D7" w:rsidP="00FF1718">
      <w:pPr>
        <w:spacing w:line="276" w:lineRule="auto"/>
      </w:pPr>
      <w:r>
        <w:t>2.2 Выполнять на автоматизированном рабочем месте (АРМ) только те процедуры, которые определены для него должностными обязанностями.</w:t>
      </w:r>
    </w:p>
    <w:p w:rsidR="009506D7" w:rsidRDefault="009506D7" w:rsidP="00FF1718">
      <w:pPr>
        <w:spacing w:line="276" w:lineRule="auto"/>
      </w:pPr>
      <w:r>
        <w:t>2.3 Знать и соблюдать установленные требования по режиму обработки персональных данных, учету, хранению и передаче информации, обеспечению безопасности персональных данных, в соответствии с руководящими и организационно-распорядительными документами.</w:t>
      </w:r>
    </w:p>
    <w:p w:rsidR="009506D7" w:rsidRDefault="009506D7" w:rsidP="00FF1718">
      <w:pPr>
        <w:spacing w:line="276" w:lineRule="auto"/>
      </w:pPr>
      <w:r>
        <w:t>2.4 Хранить съемные носители персональных данных в сейфах (металлических шкафах), оборудованных внутренним замком и приспособлением для опечатывания замочных скважин или кодовым замком. В случае если на съемном машинном носителе персональных данных хранятся только персональные данные в зашифрованном с использованием СКЗИ виде, допускается хранение таких носителей вне сейфов.</w:t>
      </w:r>
    </w:p>
    <w:p w:rsidR="009506D7" w:rsidRDefault="009506D7" w:rsidP="00FF1718">
      <w:pPr>
        <w:spacing w:line="276" w:lineRule="auto"/>
      </w:pPr>
      <w:r>
        <w:t>2.5 Соблюдать требования парольной политики (раздел 3).</w:t>
      </w:r>
    </w:p>
    <w:p w:rsidR="009506D7" w:rsidRDefault="009506D7" w:rsidP="00FF1718">
      <w:pPr>
        <w:spacing w:line="276" w:lineRule="auto"/>
      </w:pPr>
      <w:r>
        <w:t>2.6 Соблюдать правила при работе в сетях общего доступа и (или) международного информационного обмена – Интернет и других (раздел 4).</w:t>
      </w:r>
    </w:p>
    <w:p w:rsidR="009506D7" w:rsidRDefault="009506D7" w:rsidP="00FF1718">
      <w:pPr>
        <w:spacing w:line="276" w:lineRule="auto"/>
      </w:pPr>
      <w:r>
        <w:t>2.7 Располагать экран монитора во время работы так, чтобы исключалась возможность несанкционированного ознакомления с отображаемой на ним информацией посторонними лицами; шторы на оконных проемах должны быть завешены (жалюзи закрыты) в случае, если есть возможность просмотра экрана монитора через окно.</w:t>
      </w:r>
    </w:p>
    <w:p w:rsidR="009506D7" w:rsidRDefault="009506D7" w:rsidP="00FF1718">
      <w:pPr>
        <w:spacing w:line="276" w:lineRule="auto"/>
      </w:pPr>
      <w:r>
        <w:t xml:space="preserve">2.8 </w:t>
      </w:r>
      <w:proofErr w:type="gramStart"/>
      <w:r>
        <w:t>В</w:t>
      </w:r>
      <w:proofErr w:type="gramEnd"/>
      <w:r>
        <w:t xml:space="preserve"> рабочее время помещение закрывать на замок и открывать только для санкционированного прохода.</w:t>
      </w:r>
    </w:p>
    <w:p w:rsidR="009506D7" w:rsidRDefault="009506D7" w:rsidP="00FF1718">
      <w:pPr>
        <w:spacing w:line="276" w:lineRule="auto"/>
      </w:pPr>
      <w:r>
        <w:t xml:space="preserve">2.9 Обо всех выявленных нарушениях необходимо сообщать </w:t>
      </w:r>
      <w:r w:rsidR="00A63687">
        <w:t>ответственному за обеспечение безопасности персональных данных</w:t>
      </w:r>
      <w:r>
        <w:t>.</w:t>
      </w:r>
    </w:p>
    <w:p w:rsidR="009506D7" w:rsidRDefault="009506D7" w:rsidP="00FF1718">
      <w:pPr>
        <w:spacing w:line="276" w:lineRule="auto"/>
      </w:pPr>
      <w:r>
        <w:t>2.10 Для получения консультаций по вопросам работы и настройки элементов ИСПДн, необходимо обращаться к Администратору ИСПДн.</w:t>
      </w:r>
    </w:p>
    <w:p w:rsidR="009506D7" w:rsidRDefault="009506D7" w:rsidP="00FF1718">
      <w:pPr>
        <w:spacing w:line="276" w:lineRule="auto"/>
      </w:pPr>
      <w:r>
        <w:t>2.11 Пользователю запрещается: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lastRenderedPageBreak/>
        <w:t>разглашать защищаемую информацию (отраженную в Перечне защищаемых информационных ресурсов</w:t>
      </w:r>
      <w:r w:rsidR="00A63687">
        <w:t xml:space="preserve"> и Перечне обрабатываемых персональных данных</w:t>
      </w:r>
      <w:r>
        <w:t>) третьим лицам;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копировать защищаемую информацию на неучтенные внешние носители;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самостоятел</w:t>
      </w:r>
      <w:r w:rsidR="00A63687">
        <w:t>ьно устанавливать, тиражировать</w:t>
      </w:r>
      <w:r>
        <w:t xml:space="preserve"> или модифицировать программное и</w:t>
      </w:r>
      <w:r w:rsidR="00A63687">
        <w:t> </w:t>
      </w:r>
      <w:r>
        <w:t>аппаратное обеспечение, изменять установленный алгоритм функционирования технических и</w:t>
      </w:r>
      <w:r w:rsidR="00A63687">
        <w:t> </w:t>
      </w:r>
      <w:r>
        <w:t>программных средств;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proofErr w:type="spellStart"/>
      <w:r>
        <w:t>несанкционированно</w:t>
      </w:r>
      <w:proofErr w:type="spellEnd"/>
      <w:r>
        <w:t xml:space="preserve"> открывать общий доступ к ресурсам на своем автоматизированном рабочем месте (АРМ);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подключать к АРМ и корпоративной информационной сети личные внешние носители и</w:t>
      </w:r>
      <w:r w:rsidR="00A63687">
        <w:t> </w:t>
      </w:r>
      <w:r>
        <w:t>устройства;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отключать (блокировать) средства защиты информации;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обрабатывать на АРМ информацию, не имеющую отношения к трудовой деятельности и</w:t>
      </w:r>
      <w:r w:rsidR="00A63687">
        <w:t> </w:t>
      </w:r>
      <w:r>
        <w:t>выполнять другие работы, не предусмотренные должностными обязанностями;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сообщать (или передавать) посторонним лицам личные ключи и атрибуты доступа к ресурсам ИСПДн;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бесконтрольно оставлять</w:t>
      </w:r>
      <w:r w:rsidR="00A63687">
        <w:t>,</w:t>
      </w:r>
      <w:r>
        <w:t xml:space="preserve"> либо передавать посторонним лицам ключи от помещения, в</w:t>
      </w:r>
      <w:r w:rsidR="00A63687">
        <w:t> </w:t>
      </w:r>
      <w:r>
        <w:t xml:space="preserve">котором </w:t>
      </w:r>
      <w:r w:rsidR="00A63687">
        <w:t xml:space="preserve">располагаются </w:t>
      </w:r>
      <w:r>
        <w:t>элементы ИСПДн;</w:t>
      </w:r>
    </w:p>
    <w:p w:rsidR="009506D7" w:rsidRDefault="009506D7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привлекать посторонних лиц для производства ремонта или настройки АРМ, без согласования с ответственным за обеспечение безопасности персональных данных.</w:t>
      </w:r>
    </w:p>
    <w:p w:rsidR="009506D7" w:rsidRDefault="00A63687" w:rsidP="00FF1718">
      <w:pPr>
        <w:spacing w:line="276" w:lineRule="auto"/>
      </w:pPr>
      <w:r>
        <w:t xml:space="preserve">2.12 При отсутствии визуального контроля за АРМ доступ к компьютеру должен быть немедленно заблокирован (например, для ОС </w:t>
      </w:r>
      <w:r>
        <w:rPr>
          <w:lang w:val="en-US"/>
        </w:rPr>
        <w:t>Windows</w:t>
      </w:r>
      <w:r w:rsidRPr="00A63687">
        <w:t xml:space="preserve"> </w:t>
      </w:r>
      <w:r>
        <w:t xml:space="preserve">необходимо нажать комбинацию клавиш </w:t>
      </w:r>
      <w:r>
        <w:rPr>
          <w:lang w:val="en-US"/>
        </w:rPr>
        <w:t>Ctrl</w:t>
      </w:r>
      <w:r w:rsidRPr="00A63687">
        <w:t>+</w:t>
      </w:r>
      <w:r>
        <w:rPr>
          <w:lang w:val="en-US"/>
        </w:rPr>
        <w:t>Alt</w:t>
      </w:r>
      <w:r w:rsidRPr="00A63687">
        <w:t>+</w:t>
      </w:r>
      <w:r>
        <w:rPr>
          <w:lang w:val="en-US"/>
        </w:rPr>
        <w:t>Del</w:t>
      </w:r>
      <w:r w:rsidRPr="00A63687">
        <w:t xml:space="preserve"> </w:t>
      </w:r>
      <w:r>
        <w:t>и выбрать опцию Блокировка).</w:t>
      </w:r>
    </w:p>
    <w:p w:rsidR="00A63687" w:rsidRDefault="00A63687" w:rsidP="00FF1718">
      <w:pPr>
        <w:spacing w:line="276" w:lineRule="auto"/>
      </w:pPr>
      <w:r>
        <w:t xml:space="preserve">2.13 </w:t>
      </w:r>
      <w:proofErr w:type="gramStart"/>
      <w:r>
        <w:t>В</w:t>
      </w:r>
      <w:proofErr w:type="gramEnd"/>
      <w:r>
        <w:t xml:space="preserve"> случае возникновения внештатных и аварийных ситуаций, необходимо принимать меры по реагированию</w:t>
      </w:r>
      <w:r w:rsidR="00EE5329">
        <w:t xml:space="preserve"> с целью ликвидации их последствий.</w:t>
      </w:r>
    </w:p>
    <w:p w:rsidR="00EE5329" w:rsidRDefault="00EE5329" w:rsidP="00FF1718">
      <w:pPr>
        <w:pStyle w:val="1"/>
        <w:spacing w:line="276" w:lineRule="auto"/>
      </w:pPr>
      <w:bookmarkStart w:id="11" w:name="_Toc448232027"/>
      <w:r>
        <w:t>3. Организация парольной защиты</w:t>
      </w:r>
      <w:bookmarkEnd w:id="11"/>
    </w:p>
    <w:p w:rsidR="00E245A0" w:rsidRDefault="00E245A0" w:rsidP="00FF1718">
      <w:pPr>
        <w:spacing w:line="276" w:lineRule="auto"/>
      </w:pPr>
      <w:r>
        <w:t>3.1 Пароли доступа к ИСПДн выдаются пользователям ответственным за обеспечение безопасности персональных данных или создаются самостоятельно.</w:t>
      </w:r>
    </w:p>
    <w:p w:rsidR="00E245A0" w:rsidRDefault="00E245A0" w:rsidP="00FF1718">
      <w:pPr>
        <w:spacing w:line="276" w:lineRule="auto"/>
      </w:pPr>
      <w:r>
        <w:t>3.2 Полная плановая смена паролей в ИСПДн проводится не реже одного раза в 3 месяца.</w:t>
      </w:r>
    </w:p>
    <w:p w:rsidR="00EE5329" w:rsidRDefault="00E245A0" w:rsidP="00FF1718">
      <w:pPr>
        <w:spacing w:line="276" w:lineRule="auto"/>
      </w:pPr>
      <w:r>
        <w:t>3.3 Правила формирования пароля:</w:t>
      </w:r>
    </w:p>
    <w:p w:rsidR="00E245A0" w:rsidRDefault="00E245A0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пароль не должен содержать имя учетной записи пользователя или его часть;</w:t>
      </w:r>
    </w:p>
    <w:p w:rsidR="00E245A0" w:rsidRDefault="00E245A0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пароль должен состоять не менее, чем из 6 символов;</w:t>
      </w:r>
    </w:p>
    <w:p w:rsidR="00E245A0" w:rsidRDefault="003A01A6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в пароле должны присутствовать прописные и строчные буквы английского алфавита, цифры и специальные символы;</w:t>
      </w:r>
    </w:p>
    <w:p w:rsidR="003A01A6" w:rsidRDefault="003A01A6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запрещается использовать в качестве пароля простые пароли типа «123456», «</w:t>
      </w:r>
      <w:proofErr w:type="spellStart"/>
      <w:r w:rsidRPr="003A01A6">
        <w:t>qwerty</w:t>
      </w:r>
      <w:proofErr w:type="spellEnd"/>
      <w:r>
        <w:t>» и т.д., а также свои имена и даты рождения, клички домашних животных, номера телефонов и другие пароли, которые можно подобрать, основываясь на информации о пользователе;</w:t>
      </w:r>
    </w:p>
    <w:p w:rsidR="003A01A6" w:rsidRDefault="003A01A6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запрещается выбирать пароли, которые уже использовались ранее.</w:t>
      </w:r>
    </w:p>
    <w:p w:rsidR="003A01A6" w:rsidRDefault="003A01A6" w:rsidP="00FF1718">
      <w:pPr>
        <w:spacing w:line="276" w:lineRule="auto"/>
      </w:pPr>
      <w:r>
        <w:t>3.4 Правила ввода пароля:</w:t>
      </w:r>
    </w:p>
    <w:p w:rsidR="00724130" w:rsidRDefault="00724130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ввод пароля должен осуществляться с учётом регистра, в котором пароль был задан;</w:t>
      </w:r>
    </w:p>
    <w:p w:rsidR="003A01A6" w:rsidRPr="003A01A6" w:rsidRDefault="00724130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во время ввода паролей необходимо исключить возможность его подсматривания посторонними лицами или техническими средствами (видеокамеры и др.).</w:t>
      </w:r>
    </w:p>
    <w:p w:rsidR="00EE5329" w:rsidRDefault="00724130" w:rsidP="00FF1718">
      <w:pPr>
        <w:spacing w:line="276" w:lineRule="auto"/>
      </w:pPr>
      <w:r>
        <w:t>3.5 Правила хранения пароля:</w:t>
      </w:r>
    </w:p>
    <w:p w:rsidR="00724130" w:rsidRDefault="00724130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lastRenderedPageBreak/>
        <w:t>запрещается записывать пароли на бумаге, в файле, электронной записной книжке и других носителях информации, в том числе на предметах;</w:t>
      </w:r>
    </w:p>
    <w:p w:rsidR="00724130" w:rsidRDefault="00724130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запрещается сообщать другим пользователям личный пароль и регистрировать их в системе под своим паролем.</w:t>
      </w:r>
    </w:p>
    <w:p w:rsidR="00724130" w:rsidRDefault="000C5FB3" w:rsidP="00FF1718">
      <w:pPr>
        <w:spacing w:line="276" w:lineRule="auto"/>
      </w:pPr>
      <w:r>
        <w:t>3.6 Лица, использующие паролирование, обязаны: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четко знать и строго выполнять требования настоящей инструкции и других руководящих документов по парольной защите;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своевременно сообщать лицу, ответственному за обеспечение безопасности персональных данных об утере, несанкционированном изменении паролей и несанкционированном изменении сроков действия паролей.</w:t>
      </w:r>
    </w:p>
    <w:p w:rsidR="00724130" w:rsidRDefault="000C5FB3" w:rsidP="00FF1718">
      <w:pPr>
        <w:pStyle w:val="1"/>
        <w:spacing w:line="276" w:lineRule="auto"/>
      </w:pPr>
      <w:bookmarkStart w:id="12" w:name="_Toc448232028"/>
      <w:r>
        <w:t>4. Правила работы в сетях общего доступа и (или) международного информационного обмена</w:t>
      </w:r>
      <w:bookmarkEnd w:id="12"/>
    </w:p>
    <w:p w:rsidR="000C5FB3" w:rsidRDefault="000C5FB3" w:rsidP="00FF1718">
      <w:pPr>
        <w:spacing w:line="276" w:lineRule="auto"/>
      </w:pPr>
      <w:r>
        <w:t>4.1 Работа в сетях общего доступа и (или) международного информационного обмена (сети Интернет и других) (далее – Сеть) на элементах ИСПДн, должна проводиться при служебной необходимости.</w:t>
      </w:r>
    </w:p>
    <w:p w:rsidR="000C5FB3" w:rsidRDefault="000C5FB3" w:rsidP="00FF1718">
      <w:pPr>
        <w:spacing w:line="276" w:lineRule="auto"/>
      </w:pPr>
      <w:r>
        <w:t>4.2 При работе в Сети запрещается: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осуществлять работу при отключенных средствах защиты (антивирус, межсетевой экран и других);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передавать по Сети защищаемую информацию без использования средств шифрования;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запрещается скачивать из Сети программное обеспечение и другие файлы, не связанные с исполнением служебных обязанностей, либо содержащие вредоносный код;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 xml:space="preserve">запрещается сохранять (скачивать) и открывать вложения из писем электронной почты от неизвестных отправителей. </w:t>
      </w:r>
      <w:r w:rsidR="00E92862">
        <w:t>Если отправитель известен, то необходимо уточнить у него факт отправки письма лично, после чего сохранить вложение и перед открытием проверить антивирусом</w:t>
      </w:r>
      <w:r>
        <w:t>;</w:t>
      </w:r>
    </w:p>
    <w:p w:rsidR="000C5FB3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запрещается посещение сайтов сомнительной репутации (сайты, содержащие нелегально распространяемое ПО и другие);</w:t>
      </w:r>
    </w:p>
    <w:p w:rsidR="00EE5329" w:rsidRPr="00A63687" w:rsidRDefault="000C5FB3" w:rsidP="00FF1718">
      <w:pPr>
        <w:pStyle w:val="aa"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</w:pPr>
      <w:r>
        <w:t>запрещается нецелевое использование подключения к Сети.</w:t>
      </w:r>
    </w:p>
    <w:p w:rsidR="009506D7" w:rsidRDefault="009506D7" w:rsidP="008E61EB"/>
    <w:p w:rsidR="009506D7" w:rsidRDefault="009506D7" w:rsidP="008E61EB">
      <w:bookmarkStart w:id="13" w:name="_GoBack"/>
      <w:bookmarkEnd w:id="13"/>
    </w:p>
    <w:sectPr w:rsidR="009506D7" w:rsidSect="00C171D6">
      <w:footerReference w:type="default" r:id="rId8"/>
      <w:footerReference w:type="first" r:id="rId9"/>
      <w:pgSz w:w="11906" w:h="16838" w:code="9"/>
      <w:pgMar w:top="1134" w:right="567" w:bottom="1134" w:left="1134" w:header="624" w:footer="227" w:gutter="0"/>
      <w:pgNumType w:start="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B2" w:rsidRDefault="00D524B2" w:rsidP="00336FD7">
      <w:r>
        <w:separator/>
      </w:r>
    </w:p>
  </w:endnote>
  <w:endnote w:type="continuationSeparator" w:id="0">
    <w:p w:rsidR="00D524B2" w:rsidRDefault="00D524B2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445496"/>
      <w:docPartObj>
        <w:docPartGallery w:val="Page Numbers (Bottom of Page)"/>
        <w:docPartUnique/>
      </w:docPartObj>
    </w:sdtPr>
    <w:sdtEndPr/>
    <w:sdtContent>
      <w:p w:rsidR="00CF5D6B" w:rsidRDefault="00CF5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718">
          <w:rPr>
            <w:noProof/>
          </w:rPr>
          <w:t>67</w:t>
        </w:r>
        <w:r>
          <w:fldChar w:fldCharType="end"/>
        </w:r>
      </w:p>
    </w:sdtContent>
  </w:sdt>
  <w:p w:rsidR="00CF5D6B" w:rsidRDefault="00CF5D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6B" w:rsidRPr="008F145B" w:rsidRDefault="00CF5D6B" w:rsidP="008F145B">
    <w:pPr>
      <w:ind w:firstLine="0"/>
      <w:jc w:val="center"/>
      <w:rPr>
        <w:sz w:val="20"/>
      </w:rPr>
    </w:pPr>
  </w:p>
  <w:p w:rsidR="00CF5D6B" w:rsidRDefault="00CF5D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B2" w:rsidRDefault="00D524B2" w:rsidP="00336FD7">
      <w:r>
        <w:separator/>
      </w:r>
    </w:p>
  </w:footnote>
  <w:footnote w:type="continuationSeparator" w:id="0">
    <w:p w:rsidR="00D524B2" w:rsidRDefault="00D524B2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810"/>
    <w:multiLevelType w:val="hybridMultilevel"/>
    <w:tmpl w:val="2A5A1BF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35A5B"/>
    <w:multiLevelType w:val="hybridMultilevel"/>
    <w:tmpl w:val="5112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16"/>
  </w:num>
  <w:num w:numId="5">
    <w:abstractNumId w:val="23"/>
  </w:num>
  <w:num w:numId="6">
    <w:abstractNumId w:val="26"/>
  </w:num>
  <w:num w:numId="7">
    <w:abstractNumId w:val="19"/>
  </w:num>
  <w:num w:numId="8">
    <w:abstractNumId w:val="1"/>
  </w:num>
  <w:num w:numId="9">
    <w:abstractNumId w:val="0"/>
  </w:num>
  <w:num w:numId="10">
    <w:abstractNumId w:val="11"/>
  </w:num>
  <w:num w:numId="11">
    <w:abstractNumId w:val="25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17"/>
  </w:num>
  <w:num w:numId="19">
    <w:abstractNumId w:val="27"/>
  </w:num>
  <w:num w:numId="20">
    <w:abstractNumId w:val="21"/>
  </w:num>
  <w:num w:numId="21">
    <w:abstractNumId w:val="6"/>
  </w:num>
  <w:num w:numId="22">
    <w:abstractNumId w:val="5"/>
  </w:num>
  <w:num w:numId="23">
    <w:abstractNumId w:val="13"/>
  </w:num>
  <w:num w:numId="24">
    <w:abstractNumId w:val="7"/>
  </w:num>
  <w:num w:numId="25">
    <w:abstractNumId w:val="4"/>
  </w:num>
  <w:num w:numId="26">
    <w:abstractNumId w:val="15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D16"/>
    <w:rsid w:val="00023788"/>
    <w:rsid w:val="0004170A"/>
    <w:rsid w:val="00055983"/>
    <w:rsid w:val="0006436B"/>
    <w:rsid w:val="00082567"/>
    <w:rsid w:val="000838F6"/>
    <w:rsid w:val="0009363F"/>
    <w:rsid w:val="00095F4B"/>
    <w:rsid w:val="000B0C20"/>
    <w:rsid w:val="000C01BA"/>
    <w:rsid w:val="000C4A1F"/>
    <w:rsid w:val="000C5FB3"/>
    <w:rsid w:val="000E0032"/>
    <w:rsid w:val="000F052B"/>
    <w:rsid w:val="000F6912"/>
    <w:rsid w:val="00107A0A"/>
    <w:rsid w:val="001346BF"/>
    <w:rsid w:val="0013577D"/>
    <w:rsid w:val="001378A8"/>
    <w:rsid w:val="001461E4"/>
    <w:rsid w:val="001702B6"/>
    <w:rsid w:val="001915D7"/>
    <w:rsid w:val="001A58F2"/>
    <w:rsid w:val="001D5CB3"/>
    <w:rsid w:val="001E00B4"/>
    <w:rsid w:val="001E0481"/>
    <w:rsid w:val="001F23C2"/>
    <w:rsid w:val="00201FFC"/>
    <w:rsid w:val="00224BC3"/>
    <w:rsid w:val="00236A97"/>
    <w:rsid w:val="00250A9D"/>
    <w:rsid w:val="002565C3"/>
    <w:rsid w:val="00260CA8"/>
    <w:rsid w:val="00261136"/>
    <w:rsid w:val="00262BCE"/>
    <w:rsid w:val="00263CB4"/>
    <w:rsid w:val="0027051D"/>
    <w:rsid w:val="002712B6"/>
    <w:rsid w:val="002747B1"/>
    <w:rsid w:val="00282ABA"/>
    <w:rsid w:val="002971C3"/>
    <w:rsid w:val="00297560"/>
    <w:rsid w:val="002A7429"/>
    <w:rsid w:val="002D58D3"/>
    <w:rsid w:val="002D5B12"/>
    <w:rsid w:val="002D7060"/>
    <w:rsid w:val="002E7246"/>
    <w:rsid w:val="002F4F6C"/>
    <w:rsid w:val="0031191A"/>
    <w:rsid w:val="00330FC1"/>
    <w:rsid w:val="00332714"/>
    <w:rsid w:val="00336D70"/>
    <w:rsid w:val="00336FD7"/>
    <w:rsid w:val="00375819"/>
    <w:rsid w:val="00377B1E"/>
    <w:rsid w:val="0038552A"/>
    <w:rsid w:val="00394730"/>
    <w:rsid w:val="003A01A6"/>
    <w:rsid w:val="003A5990"/>
    <w:rsid w:val="003A5D4E"/>
    <w:rsid w:val="003B1029"/>
    <w:rsid w:val="003C16C2"/>
    <w:rsid w:val="003C5D0A"/>
    <w:rsid w:val="003C7DFD"/>
    <w:rsid w:val="003D5180"/>
    <w:rsid w:val="0041341F"/>
    <w:rsid w:val="00424246"/>
    <w:rsid w:val="0043472C"/>
    <w:rsid w:val="0044546B"/>
    <w:rsid w:val="00447195"/>
    <w:rsid w:val="00451A6B"/>
    <w:rsid w:val="0045406A"/>
    <w:rsid w:val="00462EF1"/>
    <w:rsid w:val="00464F02"/>
    <w:rsid w:val="00483FD8"/>
    <w:rsid w:val="0049319F"/>
    <w:rsid w:val="00494CA4"/>
    <w:rsid w:val="004975CB"/>
    <w:rsid w:val="004A264D"/>
    <w:rsid w:val="004A5465"/>
    <w:rsid w:val="004A593C"/>
    <w:rsid w:val="004B04CE"/>
    <w:rsid w:val="004E362D"/>
    <w:rsid w:val="004F11E6"/>
    <w:rsid w:val="005042C3"/>
    <w:rsid w:val="00506A29"/>
    <w:rsid w:val="00506AF7"/>
    <w:rsid w:val="00515018"/>
    <w:rsid w:val="00524F06"/>
    <w:rsid w:val="005325D5"/>
    <w:rsid w:val="00544532"/>
    <w:rsid w:val="00547C52"/>
    <w:rsid w:val="0055556F"/>
    <w:rsid w:val="00557B12"/>
    <w:rsid w:val="00564E94"/>
    <w:rsid w:val="00566935"/>
    <w:rsid w:val="00593B27"/>
    <w:rsid w:val="005B2889"/>
    <w:rsid w:val="005B3BD5"/>
    <w:rsid w:val="005D11A1"/>
    <w:rsid w:val="005D12C8"/>
    <w:rsid w:val="005E7882"/>
    <w:rsid w:val="0062114F"/>
    <w:rsid w:val="00622285"/>
    <w:rsid w:val="006248E3"/>
    <w:rsid w:val="006467CD"/>
    <w:rsid w:val="006506B2"/>
    <w:rsid w:val="00655462"/>
    <w:rsid w:val="00661B25"/>
    <w:rsid w:val="00662145"/>
    <w:rsid w:val="006716A8"/>
    <w:rsid w:val="00671B20"/>
    <w:rsid w:val="00677D3B"/>
    <w:rsid w:val="006817C6"/>
    <w:rsid w:val="006B1957"/>
    <w:rsid w:val="006F7DB4"/>
    <w:rsid w:val="00702E89"/>
    <w:rsid w:val="007066AC"/>
    <w:rsid w:val="00724130"/>
    <w:rsid w:val="0072598C"/>
    <w:rsid w:val="00726818"/>
    <w:rsid w:val="00736A2E"/>
    <w:rsid w:val="00745E39"/>
    <w:rsid w:val="00751449"/>
    <w:rsid w:val="00754204"/>
    <w:rsid w:val="00773A54"/>
    <w:rsid w:val="007851D5"/>
    <w:rsid w:val="00790466"/>
    <w:rsid w:val="007970C9"/>
    <w:rsid w:val="007A1204"/>
    <w:rsid w:val="007A2403"/>
    <w:rsid w:val="007A3258"/>
    <w:rsid w:val="007B57EE"/>
    <w:rsid w:val="007B6E5E"/>
    <w:rsid w:val="007C72FA"/>
    <w:rsid w:val="007D62E2"/>
    <w:rsid w:val="007E06A3"/>
    <w:rsid w:val="007F1619"/>
    <w:rsid w:val="00801AFE"/>
    <w:rsid w:val="00802E63"/>
    <w:rsid w:val="00847399"/>
    <w:rsid w:val="00853D1C"/>
    <w:rsid w:val="00863E5D"/>
    <w:rsid w:val="008643D2"/>
    <w:rsid w:val="00865E7E"/>
    <w:rsid w:val="0088053A"/>
    <w:rsid w:val="008831CA"/>
    <w:rsid w:val="0088542D"/>
    <w:rsid w:val="008950C1"/>
    <w:rsid w:val="008A7319"/>
    <w:rsid w:val="008B4B1D"/>
    <w:rsid w:val="008C06B3"/>
    <w:rsid w:val="008C65D1"/>
    <w:rsid w:val="008E281E"/>
    <w:rsid w:val="008E61EB"/>
    <w:rsid w:val="008F145B"/>
    <w:rsid w:val="0090520E"/>
    <w:rsid w:val="00905C15"/>
    <w:rsid w:val="00910985"/>
    <w:rsid w:val="009309DB"/>
    <w:rsid w:val="00935920"/>
    <w:rsid w:val="00935A05"/>
    <w:rsid w:val="00941A8B"/>
    <w:rsid w:val="0094498E"/>
    <w:rsid w:val="009506D7"/>
    <w:rsid w:val="00970A23"/>
    <w:rsid w:val="0098500E"/>
    <w:rsid w:val="00986D3C"/>
    <w:rsid w:val="00990B19"/>
    <w:rsid w:val="009C0B93"/>
    <w:rsid w:val="009C5CF2"/>
    <w:rsid w:val="00A00151"/>
    <w:rsid w:val="00A02D49"/>
    <w:rsid w:val="00A137EE"/>
    <w:rsid w:val="00A14CB7"/>
    <w:rsid w:val="00A2767F"/>
    <w:rsid w:val="00A30AAA"/>
    <w:rsid w:val="00A3133E"/>
    <w:rsid w:val="00A51FA6"/>
    <w:rsid w:val="00A55E8A"/>
    <w:rsid w:val="00A63687"/>
    <w:rsid w:val="00A64A70"/>
    <w:rsid w:val="00A67920"/>
    <w:rsid w:val="00A76DFB"/>
    <w:rsid w:val="00A87066"/>
    <w:rsid w:val="00AA2119"/>
    <w:rsid w:val="00AA4E8C"/>
    <w:rsid w:val="00AB6937"/>
    <w:rsid w:val="00AD0B64"/>
    <w:rsid w:val="00AD71FB"/>
    <w:rsid w:val="00AE4BCF"/>
    <w:rsid w:val="00B05FD8"/>
    <w:rsid w:val="00B10452"/>
    <w:rsid w:val="00B21375"/>
    <w:rsid w:val="00B21CBC"/>
    <w:rsid w:val="00B26002"/>
    <w:rsid w:val="00B3549A"/>
    <w:rsid w:val="00B4093B"/>
    <w:rsid w:val="00B615C8"/>
    <w:rsid w:val="00B642C0"/>
    <w:rsid w:val="00B64527"/>
    <w:rsid w:val="00B64EDD"/>
    <w:rsid w:val="00B6707C"/>
    <w:rsid w:val="00B744A4"/>
    <w:rsid w:val="00B8043C"/>
    <w:rsid w:val="00B81AA9"/>
    <w:rsid w:val="00B83F5E"/>
    <w:rsid w:val="00B93F9A"/>
    <w:rsid w:val="00BA6AC2"/>
    <w:rsid w:val="00BC4D6A"/>
    <w:rsid w:val="00BD0600"/>
    <w:rsid w:val="00BD4DD3"/>
    <w:rsid w:val="00BD5806"/>
    <w:rsid w:val="00BE1AC3"/>
    <w:rsid w:val="00BE3C24"/>
    <w:rsid w:val="00BE4173"/>
    <w:rsid w:val="00BE771C"/>
    <w:rsid w:val="00BF4FBA"/>
    <w:rsid w:val="00C11C98"/>
    <w:rsid w:val="00C171D6"/>
    <w:rsid w:val="00C233D2"/>
    <w:rsid w:val="00C303E9"/>
    <w:rsid w:val="00C42968"/>
    <w:rsid w:val="00C50885"/>
    <w:rsid w:val="00C6685F"/>
    <w:rsid w:val="00C75160"/>
    <w:rsid w:val="00C95F26"/>
    <w:rsid w:val="00CA79BA"/>
    <w:rsid w:val="00CB1DBE"/>
    <w:rsid w:val="00CB5684"/>
    <w:rsid w:val="00CB6738"/>
    <w:rsid w:val="00CC4C4A"/>
    <w:rsid w:val="00CC5669"/>
    <w:rsid w:val="00CD1F04"/>
    <w:rsid w:val="00CD287F"/>
    <w:rsid w:val="00CE4D57"/>
    <w:rsid w:val="00CF0E4E"/>
    <w:rsid w:val="00CF5D6B"/>
    <w:rsid w:val="00D0155E"/>
    <w:rsid w:val="00D128B6"/>
    <w:rsid w:val="00D131DA"/>
    <w:rsid w:val="00D172D7"/>
    <w:rsid w:val="00D51A50"/>
    <w:rsid w:val="00D524B2"/>
    <w:rsid w:val="00D54559"/>
    <w:rsid w:val="00D56733"/>
    <w:rsid w:val="00D61B07"/>
    <w:rsid w:val="00D61DCA"/>
    <w:rsid w:val="00D63093"/>
    <w:rsid w:val="00D73229"/>
    <w:rsid w:val="00D74B2C"/>
    <w:rsid w:val="00D752E4"/>
    <w:rsid w:val="00D7671F"/>
    <w:rsid w:val="00D80BA7"/>
    <w:rsid w:val="00D83697"/>
    <w:rsid w:val="00D93CC9"/>
    <w:rsid w:val="00DA0628"/>
    <w:rsid w:val="00DB4279"/>
    <w:rsid w:val="00DC1878"/>
    <w:rsid w:val="00DC3940"/>
    <w:rsid w:val="00DD083C"/>
    <w:rsid w:val="00DF7258"/>
    <w:rsid w:val="00E047B9"/>
    <w:rsid w:val="00E05B61"/>
    <w:rsid w:val="00E15EA3"/>
    <w:rsid w:val="00E245A0"/>
    <w:rsid w:val="00E251A1"/>
    <w:rsid w:val="00E25FE1"/>
    <w:rsid w:val="00E30093"/>
    <w:rsid w:val="00E313BA"/>
    <w:rsid w:val="00E4235C"/>
    <w:rsid w:val="00E44CE0"/>
    <w:rsid w:val="00E55997"/>
    <w:rsid w:val="00E6064A"/>
    <w:rsid w:val="00E644CD"/>
    <w:rsid w:val="00E71E5B"/>
    <w:rsid w:val="00E80526"/>
    <w:rsid w:val="00E92070"/>
    <w:rsid w:val="00E92862"/>
    <w:rsid w:val="00EA48CA"/>
    <w:rsid w:val="00EA4B3D"/>
    <w:rsid w:val="00EB750B"/>
    <w:rsid w:val="00EC24CA"/>
    <w:rsid w:val="00EE4EFA"/>
    <w:rsid w:val="00EE5329"/>
    <w:rsid w:val="00F22408"/>
    <w:rsid w:val="00F22725"/>
    <w:rsid w:val="00F2402C"/>
    <w:rsid w:val="00F2705E"/>
    <w:rsid w:val="00F45129"/>
    <w:rsid w:val="00F63955"/>
    <w:rsid w:val="00F65364"/>
    <w:rsid w:val="00F66CEB"/>
    <w:rsid w:val="00F74CCA"/>
    <w:rsid w:val="00F75DB5"/>
    <w:rsid w:val="00F96A2C"/>
    <w:rsid w:val="00FA4CF5"/>
    <w:rsid w:val="00FB57DE"/>
    <w:rsid w:val="00FC05CC"/>
    <w:rsid w:val="00FC0B7F"/>
    <w:rsid w:val="00FC69A8"/>
    <w:rsid w:val="00FD2D59"/>
    <w:rsid w:val="00FD3949"/>
    <w:rsid w:val="00FD45F7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C5FB3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B3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Название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935920"/>
    <w:pPr>
      <w:spacing w:after="100"/>
      <w:ind w:left="24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0C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7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567C-EC84-4DDF-B8B5-00C25B3C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Андрей Гащенко</cp:lastModifiedBy>
  <cp:revision>164</cp:revision>
  <cp:lastPrinted>2016-01-19T06:29:00Z</cp:lastPrinted>
  <dcterms:created xsi:type="dcterms:W3CDTF">2016-01-11T12:24:00Z</dcterms:created>
  <dcterms:modified xsi:type="dcterms:W3CDTF">2021-04-28T09:07:00Z</dcterms:modified>
</cp:coreProperties>
</file>