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0C01BA" w:rsidRPr="00E30093" w:rsidTr="005A3444">
        <w:trPr>
          <w:cantSplit/>
          <w:trHeight w:val="1104"/>
        </w:trPr>
        <w:tc>
          <w:tcPr>
            <w:tcW w:w="6231" w:type="dxa"/>
          </w:tcPr>
          <w:p w:rsidR="000C01BA" w:rsidRPr="00726818" w:rsidRDefault="000C01BA" w:rsidP="00CF5D6B">
            <w:pPr>
              <w:ind w:firstLine="0"/>
              <w:jc w:val="left"/>
            </w:pPr>
          </w:p>
        </w:tc>
        <w:tc>
          <w:tcPr>
            <w:tcW w:w="3974" w:type="dxa"/>
          </w:tcPr>
          <w:p w:rsidR="000C01BA" w:rsidRDefault="00F91149" w:rsidP="00CF5D6B">
            <w:pPr>
              <w:ind w:firstLine="0"/>
              <w:jc w:val="left"/>
            </w:pPr>
            <w:r>
              <w:t>УТВЕРЖДЕН</w:t>
            </w:r>
          </w:p>
          <w:p w:rsidR="00D172D7" w:rsidRDefault="00D172D7" w:rsidP="00D172D7">
            <w:pPr>
              <w:ind w:firstLine="0"/>
              <w:jc w:val="left"/>
            </w:pPr>
            <w:r>
              <w:t>приказом № ______________</w:t>
            </w:r>
          </w:p>
          <w:p w:rsidR="000C01BA" w:rsidRPr="00E30093" w:rsidRDefault="00D172D7" w:rsidP="00D172D7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726818" w:rsidRDefault="00726818" w:rsidP="00336FD7">
      <w:pPr>
        <w:ind w:firstLine="0"/>
      </w:pPr>
    </w:p>
    <w:p w:rsidR="00910985" w:rsidRPr="000C01BA" w:rsidRDefault="00910985" w:rsidP="00336FD7">
      <w:pPr>
        <w:ind w:firstLine="0"/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BC2322" w:rsidRDefault="00BC2322" w:rsidP="00BC232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РЕГЛАМЕНТ</w:t>
            </w:r>
          </w:p>
          <w:p w:rsidR="00CF5D6B" w:rsidRPr="00910985" w:rsidRDefault="00BC2322" w:rsidP="00BC232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по учету, хранению и уничтожению машинных носителей персональных данных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0C5FB3">
      <w:pPr>
        <w:pStyle w:val="1"/>
      </w:pPr>
      <w:r w:rsidRPr="00E30093">
        <w:br w:type="page"/>
      </w:r>
    </w:p>
    <w:p w:rsidR="000C01BA" w:rsidRPr="000C01BA" w:rsidRDefault="000C01BA" w:rsidP="000C5FB3">
      <w:pPr>
        <w:pStyle w:val="1"/>
      </w:pPr>
      <w:bookmarkStart w:id="0" w:name="_Toc440988322"/>
      <w:bookmarkStart w:id="1" w:name="_Toc440988847"/>
      <w:bookmarkStart w:id="2" w:name="_Toc441065676"/>
      <w:bookmarkStart w:id="3" w:name="_Toc441145396"/>
      <w:bookmarkStart w:id="4" w:name="_Toc441245316"/>
      <w:bookmarkStart w:id="5" w:name="_Toc441245351"/>
      <w:bookmarkStart w:id="6" w:name="_Toc448219454"/>
      <w:bookmarkStart w:id="7" w:name="_Toc448232023"/>
      <w:bookmarkStart w:id="8" w:name="_Toc448236062"/>
      <w:bookmarkStart w:id="9" w:name="_Toc448239462"/>
      <w:bookmarkStart w:id="10" w:name="_Toc448308227"/>
      <w:r w:rsidRPr="000C01BA">
        <w:lastRenderedPageBreak/>
        <w:t>С</w:t>
      </w:r>
      <w:bookmarkEnd w:id="0"/>
      <w:r w:rsidRPr="000C01BA">
        <w:t>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91149" w:rsidRDefault="000C01BA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0C01BA">
        <w:rPr>
          <w:color w:val="000000" w:themeColor="text1"/>
        </w:rPr>
        <w:fldChar w:fldCharType="begin"/>
      </w:r>
      <w:r w:rsidRPr="000C01BA">
        <w:rPr>
          <w:color w:val="000000" w:themeColor="text1"/>
        </w:rPr>
        <w:instrText xml:space="preserve"> TOC \o "1-2" \h \z \u </w:instrText>
      </w:r>
      <w:r w:rsidRPr="000C01BA">
        <w:rPr>
          <w:color w:val="000000" w:themeColor="text1"/>
        </w:rPr>
        <w:fldChar w:fldCharType="separate"/>
      </w:r>
      <w:hyperlink w:anchor="_Toc448308228" w:history="1">
        <w:r w:rsidR="00F91149" w:rsidRPr="00D45D27">
          <w:rPr>
            <w:rStyle w:val="af"/>
            <w:noProof/>
          </w:rPr>
          <w:t>1. Общие положения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_Toc448308228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136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29" w:history="1">
        <w:r w:rsidR="00F91149" w:rsidRPr="00D45D27">
          <w:rPr>
            <w:rStyle w:val="af"/>
            <w:noProof/>
          </w:rPr>
          <w:t>2. Организация учета машинных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_Toc448308229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136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0" w:history="1">
        <w:r w:rsidR="00F91149" w:rsidRPr="00D45D27">
          <w:rPr>
            <w:rStyle w:val="af"/>
            <w:noProof/>
          </w:rPr>
          <w:t>3. Порядок учета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_Toc448308230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136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1" w:history="1">
        <w:r w:rsidR="00F91149" w:rsidRPr="00D45D27">
          <w:rPr>
            <w:rStyle w:val="af"/>
            <w:noProof/>
          </w:rPr>
          <w:t>4. Хранение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_Toc448308231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136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2" w:history="1">
        <w:r w:rsidR="00F91149" w:rsidRPr="00D45D27">
          <w:rPr>
            <w:rStyle w:val="af"/>
            <w:noProof/>
          </w:rPr>
          <w:t>5. Особенности применения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_Toc448308232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137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3" w:history="1">
        <w:r w:rsidR="00F91149" w:rsidRPr="00D45D27">
          <w:rPr>
            <w:rStyle w:val="af"/>
            <w:noProof/>
          </w:rPr>
          <w:t>6. Выдача, передача и транспортировка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_Toc448308233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138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4" w:history="1">
        <w:r w:rsidR="00F91149" w:rsidRPr="00D45D27">
          <w:rPr>
            <w:rStyle w:val="af"/>
            <w:noProof/>
          </w:rPr>
          <w:t>7. Контроль применения носителей информации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_Toc448308234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138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5" w:history="1">
        <w:r w:rsidR="00F91149" w:rsidRPr="00D45D27">
          <w:rPr>
            <w:rStyle w:val="af"/>
            <w:noProof/>
          </w:rPr>
          <w:t>Приложение 1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_Toc448308235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140</w:t>
        </w:r>
        <w:r w:rsidR="00F91149">
          <w:rPr>
            <w:noProof/>
            <w:webHidden/>
          </w:rPr>
          <w:fldChar w:fldCharType="end"/>
        </w:r>
      </w:hyperlink>
    </w:p>
    <w:p w:rsidR="00F91149" w:rsidRDefault="0041291E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308236" w:history="1">
        <w:r w:rsidR="00F91149" w:rsidRPr="00D45D27">
          <w:rPr>
            <w:rStyle w:val="af"/>
            <w:noProof/>
          </w:rPr>
          <w:t>Приложение 2</w:t>
        </w:r>
        <w:r w:rsidR="00F91149">
          <w:rPr>
            <w:noProof/>
            <w:webHidden/>
          </w:rPr>
          <w:tab/>
        </w:r>
        <w:r w:rsidR="00F91149">
          <w:rPr>
            <w:noProof/>
            <w:webHidden/>
          </w:rPr>
          <w:fldChar w:fldCharType="begin"/>
        </w:r>
        <w:r w:rsidR="00F91149">
          <w:rPr>
            <w:noProof/>
            <w:webHidden/>
          </w:rPr>
          <w:instrText xml:space="preserve"> PAGEREF _Toc448308236 \h </w:instrText>
        </w:r>
        <w:r w:rsidR="00F91149">
          <w:rPr>
            <w:noProof/>
            <w:webHidden/>
          </w:rPr>
        </w:r>
        <w:r w:rsidR="00F91149">
          <w:rPr>
            <w:noProof/>
            <w:webHidden/>
          </w:rPr>
          <w:fldChar w:fldCharType="separate"/>
        </w:r>
        <w:r w:rsidR="00A7192B">
          <w:rPr>
            <w:noProof/>
            <w:webHidden/>
          </w:rPr>
          <w:t>141</w:t>
        </w:r>
        <w:r w:rsidR="00F91149">
          <w:rPr>
            <w:noProof/>
            <w:webHidden/>
          </w:rPr>
          <w:fldChar w:fldCharType="end"/>
        </w:r>
      </w:hyperlink>
    </w:p>
    <w:p w:rsidR="000C01BA" w:rsidRPr="000C01BA" w:rsidRDefault="000C01BA" w:rsidP="000C01BA">
      <w:pPr>
        <w:ind w:firstLine="0"/>
        <w:jc w:val="left"/>
        <w:rPr>
          <w:color w:val="000000" w:themeColor="text1"/>
        </w:rPr>
      </w:pPr>
      <w:r w:rsidRPr="000C01BA">
        <w:rPr>
          <w:color w:val="000000" w:themeColor="text1"/>
        </w:rPr>
        <w:fldChar w:fldCharType="end"/>
      </w:r>
    </w:p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B642C0" w:rsidRDefault="008E61EB" w:rsidP="000C5FB3">
      <w:pPr>
        <w:pStyle w:val="1"/>
      </w:pPr>
      <w:bookmarkStart w:id="11" w:name="_Toc448308228"/>
      <w:r>
        <w:lastRenderedPageBreak/>
        <w:t>1. Общие положения</w:t>
      </w:r>
      <w:bookmarkEnd w:id="11"/>
    </w:p>
    <w:p w:rsidR="008E61EB" w:rsidRDefault="008E61EB" w:rsidP="008E61EB">
      <w:r>
        <w:t>1.</w:t>
      </w:r>
      <w:r w:rsidR="00240AE5">
        <w:t>1 Настоящ</w:t>
      </w:r>
      <w:r w:rsidR="00BC2322">
        <w:t>ий</w:t>
      </w:r>
      <w:r w:rsidR="00240AE5">
        <w:t xml:space="preserve"> </w:t>
      </w:r>
      <w:r w:rsidR="00BC2322">
        <w:t>регламент по</w:t>
      </w:r>
      <w:r w:rsidR="00BC2322" w:rsidRPr="00BC2322">
        <w:t xml:space="preserve"> учету, хранению и уничтожению машинных носителей персональных данных</w:t>
      </w:r>
      <w:r w:rsidR="00BC2322">
        <w:t xml:space="preserve"> </w:t>
      </w:r>
      <w:r w:rsidR="00A90BBC">
        <w:t xml:space="preserve">(далее – </w:t>
      </w:r>
      <w:r w:rsidR="00BC2322">
        <w:t>Регламент</w:t>
      </w:r>
      <w:r w:rsidR="00A90BBC">
        <w:t xml:space="preserve">) определяет </w:t>
      </w:r>
      <w:r w:rsidR="00BC2322">
        <w:t>единый порядок учета, хранения, выдачи, применения, передачи и транспортировки носителей информации</w:t>
      </w:r>
      <w:r w:rsidR="00BB12D8">
        <w:t xml:space="preserve"> в</w:t>
      </w:r>
      <w:r w:rsidR="007D62E2">
        <w:t xml:space="preserve"> </w:t>
      </w:r>
      <w:r w:rsidR="00E7329A" w:rsidRPr="00E7329A">
        <w:t>ФГБОУВО "Белгородский государственный технологический университет им. В.Г. Шухова"</w:t>
      </w:r>
      <w:r w:rsidR="00A7192B" w:rsidRPr="008E61EB">
        <w:t xml:space="preserve"> </w:t>
      </w:r>
      <w:r w:rsidRPr="008E61EB">
        <w:t>(далее – Учреждение)</w:t>
      </w:r>
      <w:r>
        <w:t>.</w:t>
      </w:r>
    </w:p>
    <w:p w:rsidR="00EE3B79" w:rsidRDefault="00BB12D8" w:rsidP="00BB12D8">
      <w:r>
        <w:t>1.</w:t>
      </w:r>
      <w:r w:rsidR="00BC2322">
        <w:t>2</w:t>
      </w:r>
      <w:r>
        <w:t xml:space="preserve"> </w:t>
      </w:r>
      <w:r w:rsidR="00BC2322">
        <w:t>Регламент является обязательным для выполнения (в части касающейся) всеми работниками Учреждения</w:t>
      </w:r>
    </w:p>
    <w:p w:rsidR="00EE3B79" w:rsidRDefault="00EE3B79" w:rsidP="00EE3B79">
      <w:pPr>
        <w:pStyle w:val="1"/>
      </w:pPr>
      <w:bookmarkStart w:id="12" w:name="_Toc448308229"/>
      <w:r>
        <w:t>2. Организация учета машинных носителей информации</w:t>
      </w:r>
      <w:bookmarkEnd w:id="12"/>
    </w:p>
    <w:p w:rsidR="00EE3B79" w:rsidRDefault="00EE3B79" w:rsidP="00EE3B79">
      <w:r>
        <w:t>2.1 Применение в Учреждении носителей информации подлежит контролю. Все используемые съемные носители подлежат регистрации ответственным за обеспечение безопасности персональных данных (далее – администратор по защите информации). Применение незарегистрированных носителей информации ограниченного доступа и незарегистрированных съёмных носителей информации запрещается.</w:t>
      </w:r>
    </w:p>
    <w:p w:rsidR="00EE3B79" w:rsidRDefault="00EE3B79" w:rsidP="00EE3B79">
      <w:r>
        <w:t>2.2 Приобретенные носители информации перед использованием передаются администратору по защите информации для регистрации.</w:t>
      </w:r>
    </w:p>
    <w:p w:rsidR="00EE3B79" w:rsidRPr="00176D72" w:rsidRDefault="00EE3B79" w:rsidP="00EE3B79">
      <w:r>
        <w:t>2.</w:t>
      </w:r>
      <w:r w:rsidR="00176D72" w:rsidRPr="00176D72">
        <w:t>3</w:t>
      </w:r>
      <w:r>
        <w:t xml:space="preserve"> Все поступающие от сторонних организаций носители информации подвергаются проверке на наличие вирусов на специально выделенном компьютере. При обнаружении на</w:t>
      </w:r>
      <w:r w:rsidR="00176D72">
        <w:rPr>
          <w:lang w:val="en-US"/>
        </w:rPr>
        <w:t> </w:t>
      </w:r>
      <w:r>
        <w:t>носителе зараженного и не поддающегося лечению файла дальнейшее использование носителя не допускается.</w:t>
      </w:r>
    </w:p>
    <w:p w:rsidR="00EE3B79" w:rsidRDefault="00EE3B79" w:rsidP="00EE3B79">
      <w:r>
        <w:t>2.</w:t>
      </w:r>
      <w:r w:rsidR="00176D72" w:rsidRPr="00176D72">
        <w:t>4</w:t>
      </w:r>
      <w:r>
        <w:t xml:space="preserve"> Ответственность за организацию применения носителей информации в Учреждении возлагается на руководителя.</w:t>
      </w:r>
    </w:p>
    <w:p w:rsidR="00EE3B79" w:rsidRDefault="00EE3B79" w:rsidP="00EE3B79">
      <w:r>
        <w:t>2.</w:t>
      </w:r>
      <w:r w:rsidR="00176D72" w:rsidRPr="00176D72">
        <w:t>5</w:t>
      </w:r>
      <w:r>
        <w:t xml:space="preserve"> На</w:t>
      </w:r>
      <w:r w:rsidR="00176D72">
        <w:t xml:space="preserve"> администратора по защите информации</w:t>
      </w:r>
      <w:r>
        <w:t xml:space="preserve"> возлагаются обязанности по регистрации, хранению и выдаче носителей, ведению учетной документации и уничтожение носителей</w:t>
      </w:r>
      <w:r w:rsidR="00176D72">
        <w:t xml:space="preserve"> в </w:t>
      </w:r>
      <w:r>
        <w:t>установленн</w:t>
      </w:r>
      <w:r w:rsidR="00176D72">
        <w:t>о</w:t>
      </w:r>
      <w:r>
        <w:t>м порядк</w:t>
      </w:r>
      <w:r w:rsidR="00176D72">
        <w:t>е</w:t>
      </w:r>
      <w:r>
        <w:t>.</w:t>
      </w:r>
    </w:p>
    <w:p w:rsidR="00176D72" w:rsidRDefault="00176D72" w:rsidP="00176D72">
      <w:pPr>
        <w:pStyle w:val="1"/>
      </w:pPr>
      <w:bookmarkStart w:id="13" w:name="_Toc448308230"/>
      <w:r>
        <w:t>3. Порядок учета носителей информации</w:t>
      </w:r>
      <w:bookmarkEnd w:id="13"/>
    </w:p>
    <w:p w:rsidR="00176D72" w:rsidRDefault="00176D72" w:rsidP="00176D72">
      <w:r>
        <w:t>3.1 Основной учет носителей в Учреждении производится в «Журнале учета машинных носителей информации».</w:t>
      </w:r>
    </w:p>
    <w:p w:rsidR="00176D72" w:rsidRDefault="00176D72" w:rsidP="00176D72">
      <w:r>
        <w:t>3.2 При регистрации носителей информации ограниченного доступа в графе 5 «Журнала учета машинных носителей информации» делается пометка «конфиденциально», а при регистрации носителей ключевой (парольной) информации – «ключ».</w:t>
      </w:r>
    </w:p>
    <w:p w:rsidR="00176D72" w:rsidRDefault="00176D72" w:rsidP="00176D72">
      <w:r>
        <w:t>3.3 Все журналы учета носителей информации включаются в номенклатуру дел. Листы журналов нумеруются, прошиваются и опечатываются с нанесением заверяющей надписи с</w:t>
      </w:r>
      <w:r w:rsidR="002A7A44">
        <w:t> </w:t>
      </w:r>
      <w:r>
        <w:t>указанием количества листов, использованной печати и подписью лица, выполнившего регистрацию.</w:t>
      </w:r>
    </w:p>
    <w:p w:rsidR="00176D72" w:rsidRDefault="00176D72" w:rsidP="00176D72">
      <w:r>
        <w:t>3.4 Учетный номер наносится на носитель информации способом, обеспечивающим сохранность маркировки в процессе эксплуатации носителя и не приводящим носитель в</w:t>
      </w:r>
      <w:r w:rsidR="002A7A44">
        <w:t> </w:t>
      </w:r>
      <w:r>
        <w:t>негодность. Номер заверяется специальным штампом или подписью лица, ответственного за учет носителей.</w:t>
      </w:r>
    </w:p>
    <w:p w:rsidR="00176D72" w:rsidRDefault="00176D72" w:rsidP="00176D72">
      <w:r>
        <w:t>3.</w:t>
      </w:r>
      <w:r w:rsidR="002A7A44">
        <w:t>5</w:t>
      </w:r>
      <w:r>
        <w:t xml:space="preserve"> Принятие мер по обеспечению сохранности (читаемости) учетного номера носителя информации возлагается на работника, осуществляющего его эксплуатацию или хранение.</w:t>
      </w:r>
    </w:p>
    <w:p w:rsidR="002A7A44" w:rsidRDefault="002A7A44" w:rsidP="002A7A44">
      <w:pPr>
        <w:pStyle w:val="1"/>
      </w:pPr>
      <w:bookmarkStart w:id="14" w:name="_Toc448308231"/>
      <w:r>
        <w:t>4. Хранение носителей информации</w:t>
      </w:r>
      <w:bookmarkEnd w:id="14"/>
    </w:p>
    <w:p w:rsidR="002A7A44" w:rsidRDefault="002A7A44" w:rsidP="002A7A44">
      <w:r>
        <w:t>4.1 Хранение носителей информации осуществляется в условиях, исключающих утрату их функциональности и хранимой информации из-за влияния внешних полей, излучений и иных неблагоприятных факторов, а также несанкционированный доступ к информации ограниченного доступа.</w:t>
      </w:r>
    </w:p>
    <w:p w:rsidR="002A7A44" w:rsidRDefault="002A7A44" w:rsidP="002A7A44">
      <w:r>
        <w:lastRenderedPageBreak/>
        <w:t>4.2 Носители информации ограниченного доступа хранятся в сейфах (металлических шкафах с надежными замками) в условиях необходимого температурно-влажностного режима в помещениях с ограниченным доступом персонала.</w:t>
      </w:r>
    </w:p>
    <w:p w:rsidR="002A7A44" w:rsidRDefault="002A7A44" w:rsidP="002A7A44">
      <w:r>
        <w:t xml:space="preserve">4.3 </w:t>
      </w:r>
      <w:proofErr w:type="gramStart"/>
      <w:r>
        <w:t>В</w:t>
      </w:r>
      <w:proofErr w:type="gramEnd"/>
      <w:r>
        <w:t xml:space="preserve"> сейфах (или в непосредственной близости от них) размещаются средства эвакуации носителей в случае пожара или иных стихийных бедствий. Средства эвакуации (ящики или прочные мешки) носителей информации ограниченного доступа оснащаются приспособлениями для опечатывания.</w:t>
      </w:r>
    </w:p>
    <w:p w:rsidR="002A7A44" w:rsidRDefault="002A7A44" w:rsidP="002A7A44">
      <w:r>
        <w:t>4.4 Эвакуация носителей информации ограниченного доступа производится в места, исключающие бесконтрольный доступ к ним или их хищение.</w:t>
      </w:r>
    </w:p>
    <w:p w:rsidR="002A7A44" w:rsidRDefault="002A7A44" w:rsidP="002A7A44">
      <w:r>
        <w:t>4.5 Порядок хранения носителей конфиденциальной информации, предназначенных к списанию (уничтожению), в том числе нечитаемых вследствие выхода из строя из-за неисправности (износа), аналогичен порядку хранения действующих носителей конфиденциальной информации.</w:t>
      </w:r>
    </w:p>
    <w:p w:rsidR="00BB12D8" w:rsidRDefault="002A7A44" w:rsidP="002A7A44">
      <w:pPr>
        <w:pStyle w:val="1"/>
      </w:pPr>
      <w:bookmarkStart w:id="15" w:name="_Toc448308232"/>
      <w:r>
        <w:t>5. Особенности применения носителей информации</w:t>
      </w:r>
      <w:bookmarkEnd w:id="15"/>
    </w:p>
    <w:p w:rsidR="002A7A44" w:rsidRDefault="002A7A44" w:rsidP="002A7A44">
      <w:r>
        <w:t>5.1 Ремонт носителей информации ограниченного доступа вне Учреждения запрещается (в</w:t>
      </w:r>
      <w:r w:rsidR="00EE340F">
        <w:t> </w:t>
      </w:r>
      <w:r>
        <w:t>том числе ремонт или замена носителей, вышедших из строя в течение гарантийного срока).</w:t>
      </w:r>
    </w:p>
    <w:p w:rsidR="002A7A44" w:rsidRDefault="002A7A44" w:rsidP="002A7A44">
      <w:r>
        <w:t>5.2 Носители информации ограниченного доступа подлежат маркировке. Маркировка производится путем нанесения на корпус, или нерабочую поверхность пометки «конфиденциально».</w:t>
      </w:r>
    </w:p>
    <w:p w:rsidR="002A7A44" w:rsidRDefault="002A7A44" w:rsidP="002A7A44">
      <w:r>
        <w:t>5.3 К эксплуатации в составе вычислительного средства, предназначенного для обработки информации ограниченного доступа, допускаются только зарегистрированные носители информации ограниченного доступа.</w:t>
      </w:r>
    </w:p>
    <w:p w:rsidR="002A7A44" w:rsidRDefault="002A7A44" w:rsidP="002A7A44">
      <w:r>
        <w:t>5.</w:t>
      </w:r>
      <w:r w:rsidR="00EE340F">
        <w:t>4</w:t>
      </w:r>
      <w:r>
        <w:t xml:space="preserve"> Накопит</w:t>
      </w:r>
      <w:r w:rsidR="00EE340F">
        <w:t>ели на жестких магнитных дисках</w:t>
      </w:r>
    </w:p>
    <w:p w:rsidR="002A7A44" w:rsidRDefault="002A7A44" w:rsidP="002A7A44">
      <w:r>
        <w:t>5.</w:t>
      </w:r>
      <w:r w:rsidR="00EE340F">
        <w:t>4</w:t>
      </w:r>
      <w:r>
        <w:t>.1 Получение пользователями носителей информации ограниченного доступа на жестких магнитных дисках, входящих в комплект средств вычислительной техники (далее – СВТ), оформляется записью в «Журнале учета машинных носителей информации».</w:t>
      </w:r>
    </w:p>
    <w:p w:rsidR="002A7A44" w:rsidRDefault="00EE340F" w:rsidP="002A7A44">
      <w:r>
        <w:t xml:space="preserve">5.4.2 </w:t>
      </w:r>
      <w:r w:rsidR="002A7A44">
        <w:t xml:space="preserve">Факт выхода из строя накопителя информации ограниченного доступа на жестких дисках устанавливается комиссией в составе </w:t>
      </w:r>
      <w:r>
        <w:t>администратора ИСПДн,</w:t>
      </w:r>
      <w:r w:rsidR="002A7A44">
        <w:t xml:space="preserve"> администратора по защите информации и пользователя СВТ, в состав которого входит накопитель.</w:t>
      </w:r>
    </w:p>
    <w:p w:rsidR="002A7A44" w:rsidRDefault="00EE340F" w:rsidP="002A7A44">
      <w:r>
        <w:t xml:space="preserve">5.4.3 </w:t>
      </w:r>
      <w:r w:rsidR="002A7A44">
        <w:t>Заключение комиссии о выходе из строя носителя информации ограниченного доступа на жестких магнитных дисках оформляется «Актом технической экспертизы состояния носителя информации ограниченного доступа», утверждаемым руководителем Учреждением или лицом его замещающим.</w:t>
      </w:r>
    </w:p>
    <w:p w:rsidR="002A7A44" w:rsidRDefault="00EE340F" w:rsidP="002A7A44">
      <w:r>
        <w:t xml:space="preserve">5.4.4 </w:t>
      </w:r>
      <w:proofErr w:type="gramStart"/>
      <w:r w:rsidR="002A7A44">
        <w:t>В</w:t>
      </w:r>
      <w:proofErr w:type="gramEnd"/>
      <w:r w:rsidR="002A7A44">
        <w:t xml:space="preserve"> акте в обязательном порядке указываются: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время, место и основание составления акта;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идентификационные данные накопителя и укомплектованного им средства вычислительной техники;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характеристики накопителя;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место установки средства вычислительной техники;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характер записанной информации;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проявления неисправности и метод определения неработоспособности носителя;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вывод о выходе носителя из строя и причинах невозможности передачи его в ремонт сторонней организации;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рекомендации по уничтожению информации ограниченного доступа;</w:t>
      </w:r>
    </w:p>
    <w:p w:rsidR="002A7A44" w:rsidRDefault="002A7A44" w:rsidP="00EE340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рекомендации по списанию носителя.</w:t>
      </w:r>
    </w:p>
    <w:p w:rsidR="002A7A44" w:rsidRDefault="002A7A44" w:rsidP="002A7A44">
      <w:r>
        <w:t>5.</w:t>
      </w:r>
      <w:r w:rsidR="00EE340F">
        <w:t>4</w:t>
      </w:r>
      <w:r>
        <w:t>.5</w:t>
      </w:r>
      <w:r w:rsidR="00EE340F">
        <w:t xml:space="preserve"> </w:t>
      </w:r>
      <w:r>
        <w:t>При необходимости изъятия накопителя из состава СВТ, находящегося на гарантийном обслуживании, составляется односторонний «Акт вскрытия гарантийного СВТ», с уведомлением гарантийной организации или представлением ей экземпляра (копии) акта.</w:t>
      </w:r>
    </w:p>
    <w:p w:rsidR="002A7A44" w:rsidRDefault="002A7A44" w:rsidP="002A7A44">
      <w:r>
        <w:lastRenderedPageBreak/>
        <w:t>5.</w:t>
      </w:r>
      <w:r w:rsidR="00EE340F">
        <w:t>4</w:t>
      </w:r>
      <w:r>
        <w:t>.6</w:t>
      </w:r>
      <w:r w:rsidR="00EE340F">
        <w:t xml:space="preserve"> </w:t>
      </w:r>
      <w:r>
        <w:t>Неисправный накопитель заменяется исправным носителем конфиденциальной информации, после чего соответствующие отметки делаются в «Журнале учета машинных носителей информации». а СВТ опечатывается.</w:t>
      </w:r>
    </w:p>
    <w:p w:rsidR="002A7A44" w:rsidRDefault="00EE340F" w:rsidP="002A7A44">
      <w:r>
        <w:t>5.</w:t>
      </w:r>
      <w:r w:rsidR="00CD3014">
        <w:t>4</w:t>
      </w:r>
      <w:r>
        <w:t xml:space="preserve">.7 </w:t>
      </w:r>
      <w:r w:rsidR="002A7A44">
        <w:t>«Акт технической экспертизы состояния носителя информации ограниченного доступа» является основанием для изъятия из эксплуатации или оформления списания носителя с</w:t>
      </w:r>
      <w:r w:rsidR="00CD3014">
        <w:t> </w:t>
      </w:r>
      <w:r w:rsidR="002A7A44">
        <w:t>баланса Учреждения (если носитель информации является основным средством) и уничтожения.</w:t>
      </w:r>
    </w:p>
    <w:p w:rsidR="002A7A44" w:rsidRDefault="00EE340F" w:rsidP="002A7A44">
      <w:r>
        <w:t>5.</w:t>
      </w:r>
      <w:r w:rsidR="00CD3014">
        <w:t>4</w:t>
      </w:r>
      <w:r>
        <w:t xml:space="preserve">.8 </w:t>
      </w:r>
      <w:proofErr w:type="gramStart"/>
      <w:r w:rsidR="002A7A44">
        <w:t>В</w:t>
      </w:r>
      <w:proofErr w:type="gramEnd"/>
      <w:r w:rsidR="002A7A44">
        <w:t xml:space="preserve"> случае необходимости передачи в ремонт средства вычислительной техники, вышедшего из строя не из-за неисправности входящего в его состав носителя информации ограниченного доступа, накопитель из устройства изымается и заменяется другим, не являющимся носителем информации ограниченного доступа.</w:t>
      </w:r>
    </w:p>
    <w:p w:rsidR="002A7A44" w:rsidRDefault="00EE340F" w:rsidP="002A7A44">
      <w:r>
        <w:t>5.</w:t>
      </w:r>
      <w:r w:rsidR="00CD3014">
        <w:t>4</w:t>
      </w:r>
      <w:r>
        <w:t xml:space="preserve">.9 </w:t>
      </w:r>
      <w:r w:rsidR="002A7A44">
        <w:t>Изъятое устройство передается (возвращается) по «Журналу учета машинных носителей информации» на хранение лицу, ответственному за учет и хранение носителей информации в Учреждении.</w:t>
      </w:r>
    </w:p>
    <w:p w:rsidR="002A7A44" w:rsidRDefault="00EE340F" w:rsidP="002A7A44">
      <w:r>
        <w:t>5.</w:t>
      </w:r>
      <w:r w:rsidR="00CD3014">
        <w:t>4</w:t>
      </w:r>
      <w:r>
        <w:t xml:space="preserve">.10 </w:t>
      </w:r>
      <w:r w:rsidR="002A7A44">
        <w:t>По возвращении СВТ из ремонта изъятый ранее носитель информации ограниченного доступа при необходимости устанавливается в присутствии ответственного за учет и хранение носителей обратно с оформлением соответствующей записи в «Журнале учета машинных носителей информации».</w:t>
      </w:r>
    </w:p>
    <w:p w:rsidR="002A7A44" w:rsidRDefault="00EE340F" w:rsidP="002A7A44">
      <w:r>
        <w:t>5.</w:t>
      </w:r>
      <w:r w:rsidR="00CD3014">
        <w:t>4</w:t>
      </w:r>
      <w:r>
        <w:t xml:space="preserve">.11 </w:t>
      </w:r>
      <w:r w:rsidR="002A7A44">
        <w:t>Возвращение арендованных СВТ, имеющих в своем составе носители информации ограниченного доступа, производится после замены носителей на аналогичные модели или гарантированного уничтожения информации на них, если условиями аренды не предусмотрено возвращение СВТ без носителя информации.</w:t>
      </w:r>
    </w:p>
    <w:p w:rsidR="002A7A44" w:rsidRDefault="00EE340F" w:rsidP="002A7A44">
      <w:r>
        <w:t>5.</w:t>
      </w:r>
      <w:r w:rsidR="00CD3014">
        <w:t>5</w:t>
      </w:r>
      <w:r>
        <w:t xml:space="preserve"> </w:t>
      </w:r>
      <w:r w:rsidR="002A7A44">
        <w:t>Оптические носители.</w:t>
      </w:r>
    </w:p>
    <w:p w:rsidR="002A7A44" w:rsidRDefault="002A7A44" w:rsidP="002A7A44">
      <w:r>
        <w:t>5.</w:t>
      </w:r>
      <w:r w:rsidR="00CD3014">
        <w:t>5</w:t>
      </w:r>
      <w:r>
        <w:t>.1</w:t>
      </w:r>
      <w:r w:rsidR="00EE340F">
        <w:t xml:space="preserve"> </w:t>
      </w:r>
      <w:r>
        <w:t>Учетный номер оптического носителя информации наносится несмываемыми чернилами на его нерабочую поверхность или наклеиваемую на него специальную этикетку и</w:t>
      </w:r>
      <w:r w:rsidR="00CD3014">
        <w:t> </w:t>
      </w:r>
      <w:r>
        <w:t xml:space="preserve">заверяется подписью </w:t>
      </w:r>
      <w:r w:rsidR="00CD3014">
        <w:t>администратора по защите информации</w:t>
      </w:r>
      <w:r>
        <w:t>. Допускается наклеивание на</w:t>
      </w:r>
      <w:r w:rsidR="00CD3014">
        <w:t> </w:t>
      </w:r>
      <w:r>
        <w:t xml:space="preserve">носитель только специальной этикетки для оптических носителей, исключающей нарушение его балансировки и не препятствующих его движению в </w:t>
      </w:r>
      <w:r w:rsidR="00CD3014">
        <w:t>приводе</w:t>
      </w:r>
      <w:r>
        <w:t>.</w:t>
      </w:r>
    </w:p>
    <w:p w:rsidR="002A7A44" w:rsidRDefault="00EE340F" w:rsidP="002A7A44">
      <w:r>
        <w:t>5.</w:t>
      </w:r>
      <w:r w:rsidR="00CD3014">
        <w:t>5</w:t>
      </w:r>
      <w:r>
        <w:t xml:space="preserve">.2 </w:t>
      </w:r>
      <w:r w:rsidR="002A7A44">
        <w:t>На нерабочей поверхности носителя (этикетке) может также указываться дополнительная информация, используемая в процессе его применения.</w:t>
      </w:r>
    </w:p>
    <w:p w:rsidR="002A7A44" w:rsidRDefault="00EE340F" w:rsidP="002A7A44">
      <w:r>
        <w:t>5.</w:t>
      </w:r>
      <w:r w:rsidR="00CD3014">
        <w:t>5</w:t>
      </w:r>
      <w:r>
        <w:t xml:space="preserve">.3 </w:t>
      </w:r>
      <w:r w:rsidR="002A7A44">
        <w:t>Оптические носители хранятся в местах, защищенных от попадания прямых солнечных лучей, в конвертах или специальных коробках, обеспечивающих сохранность рабочей поверхности носителя от загрязнения и механических повреждений.</w:t>
      </w:r>
    </w:p>
    <w:p w:rsidR="00CD3014" w:rsidRDefault="00CD3014" w:rsidP="00CD3014">
      <w:pPr>
        <w:pStyle w:val="1"/>
      </w:pPr>
      <w:bookmarkStart w:id="16" w:name="_Toc448308233"/>
      <w:r>
        <w:t>6. Выдача, передача и транспортировка носителей информации</w:t>
      </w:r>
      <w:bookmarkEnd w:id="16"/>
    </w:p>
    <w:p w:rsidR="00CD3014" w:rsidRDefault="00CD3014" w:rsidP="00CD3014">
      <w:r>
        <w:t>6.1 Выдача носителей информации пользов</w:t>
      </w:r>
      <w:r w:rsidR="001E08DB">
        <w:t>ателям производится под роспись</w:t>
      </w:r>
      <w:r>
        <w:t xml:space="preserve"> в «Журнале учета машинных носителей информации».</w:t>
      </w:r>
    </w:p>
    <w:p w:rsidR="00CD3014" w:rsidRDefault="00CD3014" w:rsidP="00CD3014">
      <w:r>
        <w:t>6.2 Допускается выдача по одной записи комплекта (нескольких носителей одного типа) оптических носителей (или гибких магнитных дисков), не предназначенных для записи информации ограниченного доступа.</w:t>
      </w:r>
    </w:p>
    <w:p w:rsidR="00CD3014" w:rsidRDefault="00CD3014" w:rsidP="00CD3014">
      <w:r>
        <w:t>6.</w:t>
      </w:r>
      <w:r w:rsidR="001E08DB">
        <w:t>3</w:t>
      </w:r>
      <w:r>
        <w:t xml:space="preserve"> Передача носителя информации ограниченного доступа</w:t>
      </w:r>
      <w:r w:rsidR="001E08DB">
        <w:t xml:space="preserve"> в</w:t>
      </w:r>
      <w:r>
        <w:t xml:space="preserve"> друг</w:t>
      </w:r>
      <w:r w:rsidR="001E08DB">
        <w:t>ое</w:t>
      </w:r>
      <w:r>
        <w:t xml:space="preserve"> </w:t>
      </w:r>
      <w:r w:rsidR="001E08DB">
        <w:t>учреждение</w:t>
      </w:r>
      <w:r>
        <w:t xml:space="preserve"> производится с оформлением сопроводительного письма и фиксируется в «Журнале учета </w:t>
      </w:r>
      <w:r w:rsidR="001E08DB">
        <w:t>машинных носителей информации».</w:t>
      </w:r>
    </w:p>
    <w:p w:rsidR="00CD3014" w:rsidRDefault="00CD3014" w:rsidP="00CD3014">
      <w:r>
        <w:t>6.</w:t>
      </w:r>
      <w:r w:rsidR="001E08DB">
        <w:t>4</w:t>
      </w:r>
      <w:r>
        <w:t xml:space="preserve"> </w:t>
      </w:r>
      <w:proofErr w:type="gramStart"/>
      <w:r>
        <w:t>В</w:t>
      </w:r>
      <w:proofErr w:type="gramEnd"/>
      <w:r>
        <w:t xml:space="preserve"> сопроводительном письме указывается количество передаваемых носителей, а также тип, учетный номер, серийный (заводской) номер и, при необходимости, другая информация.</w:t>
      </w:r>
    </w:p>
    <w:p w:rsidR="00CD3014" w:rsidRDefault="00CD3014" w:rsidP="00CD3014">
      <w:r>
        <w:t>6.</w:t>
      </w:r>
      <w:r w:rsidR="001E08DB">
        <w:t>5</w:t>
      </w:r>
      <w:r>
        <w:t xml:space="preserve"> При транспортировке носителей информации ограниченного доступа необходимо обеспечить условия, исключающие утрату или несанкционированный доступ к информации.</w:t>
      </w:r>
    </w:p>
    <w:p w:rsidR="00EE3B79" w:rsidRDefault="001E08DB" w:rsidP="001E08DB">
      <w:pPr>
        <w:pStyle w:val="1"/>
      </w:pPr>
      <w:bookmarkStart w:id="17" w:name="_Toc448308234"/>
      <w:r>
        <w:t>7. Контроль применения носителей информации</w:t>
      </w:r>
      <w:bookmarkEnd w:id="17"/>
    </w:p>
    <w:p w:rsidR="00114CD6" w:rsidRDefault="00114CD6" w:rsidP="00114CD6">
      <w:r>
        <w:t xml:space="preserve">7.1 Контроль наличия носителей информации, правил и условий их хранения осуществляется посредством периодических проверок руководителем Учреждения, </w:t>
      </w:r>
      <w:r w:rsidR="008F6B28">
        <w:t>администратором</w:t>
      </w:r>
      <w:r>
        <w:t xml:space="preserve"> по защите информации Учреждения и пользователями.</w:t>
      </w:r>
    </w:p>
    <w:p w:rsidR="00114CD6" w:rsidRDefault="00114CD6" w:rsidP="00114CD6">
      <w:r>
        <w:lastRenderedPageBreak/>
        <w:t>7.2 Порядок и периодичность текущего контроля носителей в Учреждении определяется руководителем Учреждения.</w:t>
      </w:r>
    </w:p>
    <w:p w:rsidR="00114CD6" w:rsidRDefault="00114CD6" w:rsidP="00114CD6">
      <w:r>
        <w:t>7.3 Ежегодно (в ноябре-декабре) проверка наличия и состояния носителей информации проводится комиссией, назначаем</w:t>
      </w:r>
      <w:r w:rsidR="008F6B28">
        <w:t>ой распоряжением по Учреждению.</w:t>
      </w:r>
    </w:p>
    <w:p w:rsidR="00114CD6" w:rsidRDefault="00114CD6" w:rsidP="00114CD6">
      <w:r>
        <w:t>7.4 Проверке подлежат: соответствие количества учтенных носителей фактическому, наличие и состояние учетной документации, соответствие серийных (заводских) и учетных номеров, условия хранения и использования носителей.</w:t>
      </w:r>
    </w:p>
    <w:p w:rsidR="00114CD6" w:rsidRDefault="00114CD6" w:rsidP="00114CD6">
      <w:r>
        <w:t>7.5 В «Журнале учета машинных носителей информации» после сверки имеющихся в графе 12 записей на наличие соответствующих документов в графе 13 проставляется подпись председателя комиссии и дата.</w:t>
      </w:r>
    </w:p>
    <w:p w:rsidR="00114CD6" w:rsidRDefault="00114CD6" w:rsidP="00114CD6">
      <w:r>
        <w:t xml:space="preserve">7.6 </w:t>
      </w:r>
      <w:proofErr w:type="gramStart"/>
      <w:r>
        <w:t>В</w:t>
      </w:r>
      <w:proofErr w:type="gramEnd"/>
      <w:r>
        <w:t xml:space="preserve"> процессе проверки также оценивается (при необходимости) техническое состояние предлагаемых к списанию носителей и вырабатываются соответствующие рекомендации.</w:t>
      </w:r>
    </w:p>
    <w:p w:rsidR="00114CD6" w:rsidRDefault="00114CD6" w:rsidP="00114CD6">
      <w:r>
        <w:t>7.7</w:t>
      </w:r>
      <w:r w:rsidRPr="00114CD6">
        <w:t xml:space="preserve"> </w:t>
      </w:r>
      <w:r>
        <w:t>Результаты проверки наличия носителей информации и порядка их применения оформляются актом. Акт проверки подлежит утверждению руководителем Учреждения.</w:t>
      </w:r>
    </w:p>
    <w:p w:rsidR="00114CD6" w:rsidRDefault="00114CD6" w:rsidP="00114CD6">
      <w:r>
        <w:t>7.8 По каждому случаю утраты носителя информации ограниченного доступа или несанкционированного доступа к нему распоряжением руководителя Учреждения назначается служебное расследование.</w:t>
      </w:r>
    </w:p>
    <w:p w:rsidR="00114CD6" w:rsidRDefault="00114CD6" w:rsidP="00114CD6">
      <w:r>
        <w:t>7.9 Целью работы комиссии является установление обстоятельств, условий и причин возникновения инцидента, виновных лиц и выработка предложений по устранению причин и</w:t>
      </w:r>
      <w:r w:rsidR="008F6B28">
        <w:t> </w:t>
      </w:r>
      <w:r>
        <w:t>способствующих инциденту условий, а также по минимизации возможного ущерба.</w:t>
      </w:r>
    </w:p>
    <w:p w:rsidR="00114CD6" w:rsidRDefault="00114CD6" w:rsidP="00114CD6">
      <w:r>
        <w:t>7.10 Расследование производится не позднее, чем в течение 14 дней с момента выявления факта утраты носителя или несанкционированного доступа к нему. Результаты расследования оформляются актом, подписываемым членами комиссии и утверждаемым руководителем Учреждения.</w:t>
      </w:r>
    </w:p>
    <w:p w:rsidR="00114CD6" w:rsidRDefault="00114CD6" w:rsidP="00114CD6">
      <w:r>
        <w:t>7.11 Носители информации ограниченного доступа многократной записи в случае выхода из</w:t>
      </w:r>
      <w:r w:rsidR="008F6B28">
        <w:t> </w:t>
      </w:r>
      <w:r>
        <w:t>строя, а носители однократной записи при миновании необходимости хранимой на них информации</w:t>
      </w:r>
      <w:r w:rsidR="008F6B28">
        <w:t>,</w:t>
      </w:r>
      <w:r>
        <w:t xml:space="preserve"> подлежат списанию в соответствии с действующими правилами списания категории материальных средств, к которой они отнесены, и последующему уничтожению.</w:t>
      </w:r>
    </w:p>
    <w:p w:rsidR="00114CD6" w:rsidRDefault="00114CD6" w:rsidP="00114CD6">
      <w:r>
        <w:t>7.12 Основанием для списания с баланса Учреждения носителей информации ограниченного доступа на жестких дисках – «Акт технической экспертизы состояния носителя информации ограниченного доступа».</w:t>
      </w:r>
    </w:p>
    <w:p w:rsidR="00114CD6" w:rsidRDefault="00114CD6" w:rsidP="00114CD6">
      <w:r>
        <w:t>7.13 Уничтожение носителя, состоящего на балансе Учреждения как основного средства, производится после утверждения акта о его списании.</w:t>
      </w:r>
    </w:p>
    <w:p w:rsidR="00114CD6" w:rsidRDefault="00114CD6" w:rsidP="00114CD6">
      <w:r>
        <w:t>7.14 Уничтожение носителей информации производится в присутствии членов комиссии, назначаемой распоряжением руководителя Учреждения, способом, исключающим возможность восстановления хранившейся на носителе информации.</w:t>
      </w:r>
      <w:bookmarkStart w:id="18" w:name="_GoBack"/>
      <w:bookmarkEnd w:id="18"/>
    </w:p>
    <w:p w:rsidR="00B6569B" w:rsidRDefault="00114CD6" w:rsidP="00B6569B">
      <w:r>
        <w:t>7.15 Факт уничтожения носителя оформляется актом. Акт об уничтожении носителя информации хранится у лица, ответственного за учет и хранение машинных носителей информации.</w:t>
      </w:r>
      <w:r w:rsidR="00B6569B">
        <w:t xml:space="preserve"> Поля формы акта уничтожения могут быть изменены по усмотрению комиссии.</w:t>
      </w:r>
    </w:p>
    <w:p w:rsidR="00B6569B" w:rsidRDefault="00B6569B" w:rsidP="00B6569B">
      <w:r>
        <w:t>7.16. Для уничтожения персональных данных в электронной форме могут быть разработаны дополнительные формы Актов уничтожения.</w:t>
      </w:r>
    </w:p>
    <w:p w:rsidR="00EE340F" w:rsidRDefault="00EE340F" w:rsidP="00BB12D8"/>
    <w:p w:rsidR="00EE3B79" w:rsidRDefault="00EE3B79" w:rsidP="00BB12D8"/>
    <w:p w:rsidR="008F6B28" w:rsidRDefault="008F6B28">
      <w:pPr>
        <w:spacing w:after="160" w:line="259" w:lineRule="auto"/>
        <w:ind w:firstLine="0"/>
        <w:jc w:val="left"/>
      </w:pPr>
      <w:r>
        <w:br w:type="page"/>
      </w:r>
    </w:p>
    <w:p w:rsidR="00BB12D8" w:rsidRDefault="008F6B28" w:rsidP="00776806">
      <w:pPr>
        <w:pStyle w:val="1"/>
      </w:pPr>
      <w:bookmarkStart w:id="19" w:name="_Toc448308235"/>
      <w:r>
        <w:lastRenderedPageBreak/>
        <w:t>Приложение 1</w:t>
      </w:r>
      <w:bookmarkEnd w:id="19"/>
    </w:p>
    <w:p w:rsidR="003C3634" w:rsidRDefault="003C3634" w:rsidP="00776806">
      <w:pPr>
        <w:ind w:firstLine="0"/>
        <w:jc w:val="center"/>
      </w:pPr>
      <w:r>
        <w:t>Типовая ф</w:t>
      </w:r>
      <w:r w:rsidR="008F6B28">
        <w:t>орма акта технической экспертизы</w:t>
      </w:r>
    </w:p>
    <w:p w:rsidR="008F6B28" w:rsidRDefault="008F6B28" w:rsidP="00776806">
      <w:pPr>
        <w:ind w:firstLine="0"/>
        <w:jc w:val="center"/>
      </w:pPr>
      <w:r>
        <w:t>состояния носителя информации ограниченного доступа</w:t>
      </w:r>
    </w:p>
    <w:p w:rsidR="008F6B28" w:rsidRDefault="008F6B28" w:rsidP="008E61EB"/>
    <w:p w:rsidR="00FB25D6" w:rsidRDefault="00FB25D6" w:rsidP="008E61EB"/>
    <w:p w:rsidR="00776806" w:rsidRPr="00776806" w:rsidRDefault="00776806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>К</w:t>
      </w:r>
      <w:r w:rsidR="003C3634">
        <w:rPr>
          <w:rFonts w:eastAsia="Calibri" w:cs="Times New Roman"/>
          <w:kern w:val="1"/>
          <w:szCs w:val="24"/>
        </w:rPr>
        <w:t xml:space="preserve">омиссия в составе: председателя </w:t>
      </w:r>
      <w:r w:rsidR="003C3634">
        <w:rPr>
          <w:rFonts w:eastAsia="Calibri" w:cs="Times New Roman"/>
          <w:kern w:val="1"/>
          <w:szCs w:val="24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776806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 xml:space="preserve">и членов комиссии: </w:t>
      </w:r>
      <w:r>
        <w:rPr>
          <w:rFonts w:eastAsia="Calibri" w:cs="Times New Roman"/>
          <w:kern w:val="1"/>
          <w:szCs w:val="24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ab/>
      </w:r>
    </w:p>
    <w:p w:rsidR="003C3634" w:rsidRDefault="003C3634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</w:p>
    <w:p w:rsid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>составила настоящий акт на предмет технического состояния следующего носителя информации:</w:t>
      </w:r>
    </w:p>
    <w:p w:rsidR="003C3634" w:rsidRPr="00776806" w:rsidRDefault="003C3634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1260"/>
        <w:gridCol w:w="1620"/>
        <w:gridCol w:w="1800"/>
      </w:tblGrid>
      <w:tr w:rsidR="00776806" w:rsidRPr="00776806" w:rsidTr="003C3634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 xml:space="preserve">Идентификационные данные (характеристики) накопителя и укомплектованного им средства вычислительной техники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3C3634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 xml:space="preserve">Инв. </w:t>
            </w:r>
            <w:r w:rsidR="003C3634">
              <w:rPr>
                <w:rFonts w:eastAsia="Times New Roman" w:cs="Times New Roman"/>
                <w:sz w:val="20"/>
                <w:lang w:eastAsia="ru-RU"/>
              </w:rPr>
              <w:t>номер</w:t>
            </w:r>
            <w:r w:rsidRPr="003C3634"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Место установки СВТ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Характер записанной информации</w:t>
            </w:r>
          </w:p>
        </w:tc>
      </w:tr>
      <w:tr w:rsidR="00776806" w:rsidRPr="00776806" w:rsidTr="003C3634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</w:tr>
      <w:tr w:rsidR="00776806" w:rsidRPr="00776806" w:rsidTr="003C3634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776806" w:rsidRPr="003C3634" w:rsidRDefault="00776806" w:rsidP="0077680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</w:tbl>
    <w:p w:rsidR="003C3634" w:rsidRDefault="003C3634" w:rsidP="003C3634">
      <w:pPr>
        <w:autoSpaceDE w:val="0"/>
        <w:autoSpaceDN w:val="0"/>
        <w:adjustRightInd w:val="0"/>
        <w:ind w:firstLine="1"/>
        <w:rPr>
          <w:rFonts w:eastAsia="Times New Roman" w:cs="Times New Roman"/>
          <w:szCs w:val="24"/>
          <w:lang w:eastAsia="ru-RU"/>
        </w:rPr>
      </w:pPr>
    </w:p>
    <w:p w:rsidR="00776806" w:rsidRPr="008C3EB8" w:rsidRDefault="00776806" w:rsidP="003C3634">
      <w:pPr>
        <w:autoSpaceDE w:val="0"/>
        <w:autoSpaceDN w:val="0"/>
        <w:adjustRightInd w:val="0"/>
        <w:ind w:firstLine="1"/>
        <w:rPr>
          <w:rFonts w:eastAsia="Times New Roman" w:cs="Times New Roman"/>
          <w:i/>
          <w:szCs w:val="24"/>
          <w:u w:val="single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 xml:space="preserve">Комиссия установила, что носитель информации является </w:t>
      </w:r>
      <w:r w:rsidRPr="00776806">
        <w:rPr>
          <w:rFonts w:eastAsia="Times New Roman" w:cs="Times New Roman"/>
          <w:i/>
          <w:szCs w:val="24"/>
          <w:u w:val="single"/>
          <w:lang w:eastAsia="ru-RU"/>
        </w:rPr>
        <w:t>неработоспособным</w:t>
      </w:r>
    </w:p>
    <w:p w:rsidR="003C3634" w:rsidRPr="003C3634" w:rsidRDefault="003C3634" w:rsidP="003C3634">
      <w:pPr>
        <w:tabs>
          <w:tab w:val="right" w:leader="underscore" w:pos="10206"/>
        </w:tabs>
        <w:ind w:firstLine="0"/>
        <w:rPr>
          <w:lang w:eastAsia="ru-RU"/>
        </w:rPr>
      </w:pPr>
      <w:r>
        <w:rPr>
          <w:lang w:eastAsia="ru-RU"/>
        </w:rPr>
        <w:tab/>
      </w:r>
    </w:p>
    <w:p w:rsidR="00776806" w:rsidRPr="00776806" w:rsidRDefault="00776806" w:rsidP="00776806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(указываются проявления неисправности и метод определения неработоспособности носителя)</w:t>
      </w:r>
    </w:p>
    <w:p w:rsidR="00776806" w:rsidRDefault="003C3634" w:rsidP="00776806">
      <w:pPr>
        <w:autoSpaceDE w:val="0"/>
        <w:autoSpaceDN w:val="0"/>
        <w:adjustRightInd w:val="0"/>
        <w:ind w:firstLine="1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Вывод:</w:t>
      </w:r>
    </w:p>
    <w:p w:rsidR="003C3634" w:rsidRPr="00776806" w:rsidRDefault="003C3634" w:rsidP="00776806">
      <w:pPr>
        <w:autoSpaceDE w:val="0"/>
        <w:autoSpaceDN w:val="0"/>
        <w:adjustRightInd w:val="0"/>
        <w:ind w:firstLine="1"/>
        <w:rPr>
          <w:rFonts w:eastAsia="Times New Roman" w:cs="Times New Roman"/>
          <w:szCs w:val="26"/>
          <w:lang w:eastAsia="ru-RU"/>
        </w:rPr>
      </w:pPr>
    </w:p>
    <w:p w:rsidR="00776806" w:rsidRDefault="003C3634" w:rsidP="003C3634">
      <w:pPr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Носитель информации </w:t>
      </w:r>
      <w:r w:rsidR="00776806" w:rsidRPr="00776806">
        <w:rPr>
          <w:rFonts w:eastAsia="Times New Roman" w:cs="Times New Roman"/>
          <w:i/>
          <w:szCs w:val="26"/>
          <w:lang w:eastAsia="ru-RU"/>
        </w:rPr>
        <w:t>подлежит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 / </w:t>
      </w:r>
      <w:r w:rsidR="00776806" w:rsidRPr="00776806">
        <w:rPr>
          <w:rFonts w:eastAsia="Times New Roman" w:cs="Times New Roman"/>
          <w:i/>
          <w:szCs w:val="26"/>
          <w:lang w:eastAsia="ru-RU"/>
        </w:rPr>
        <w:t>не подлежит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 передаче в ремонт</w:t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</w:p>
    <w:p w:rsidR="00776806" w:rsidRPr="00776806" w:rsidRDefault="00776806" w:rsidP="003C3634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(указывается наименование сторонней организации или причина невозможности передачи носителя для ремонта)</w:t>
      </w:r>
    </w:p>
    <w:p w:rsidR="003C3634" w:rsidRDefault="003C3634" w:rsidP="003C3634">
      <w:pPr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6"/>
          <w:lang w:eastAsia="ru-RU"/>
        </w:rPr>
      </w:pPr>
    </w:p>
    <w:p w:rsidR="00776806" w:rsidRDefault="003C3634" w:rsidP="003C3634">
      <w:pPr>
        <w:autoSpaceDE w:val="0"/>
        <w:autoSpaceDN w:val="0"/>
        <w:adjustRightInd w:val="0"/>
        <w:spacing w:line="276" w:lineRule="auto"/>
        <w:ind w:firstLine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Носитель информации </w:t>
      </w:r>
      <w:r w:rsidR="00776806" w:rsidRPr="00776806">
        <w:rPr>
          <w:rFonts w:eastAsia="Times New Roman" w:cs="Times New Roman"/>
          <w:i/>
          <w:szCs w:val="26"/>
          <w:lang w:eastAsia="ru-RU"/>
        </w:rPr>
        <w:t>подлежит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 / </w:t>
      </w:r>
      <w:r w:rsidR="00776806" w:rsidRPr="00776806">
        <w:rPr>
          <w:rFonts w:eastAsia="Times New Roman" w:cs="Times New Roman"/>
          <w:i/>
          <w:szCs w:val="26"/>
          <w:lang w:eastAsia="ru-RU"/>
        </w:rPr>
        <w:t>не подлежит</w:t>
      </w:r>
      <w:r w:rsidR="00776806" w:rsidRPr="00776806">
        <w:rPr>
          <w:rFonts w:eastAsia="Times New Roman" w:cs="Times New Roman"/>
          <w:szCs w:val="26"/>
          <w:lang w:eastAsia="ru-RU"/>
        </w:rPr>
        <w:t xml:space="preserve"> уничтожению</w:t>
      </w: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</w:p>
    <w:p w:rsidR="00776806" w:rsidRPr="00776806" w:rsidRDefault="00776806" w:rsidP="003C3634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(указывается способ уничтожения)</w:t>
      </w:r>
    </w:p>
    <w:p w:rsidR="003C3634" w:rsidRDefault="003C3634" w:rsidP="003C3634">
      <w:pPr>
        <w:autoSpaceDE w:val="0"/>
        <w:autoSpaceDN w:val="0"/>
        <w:adjustRightInd w:val="0"/>
        <w:ind w:firstLine="1"/>
        <w:rPr>
          <w:rFonts w:eastAsia="Times New Roman" w:cs="Times New Roman"/>
          <w:szCs w:val="24"/>
          <w:lang w:eastAsia="ru-RU"/>
        </w:rPr>
      </w:pPr>
    </w:p>
    <w:p w:rsidR="00776806" w:rsidRDefault="00776806" w:rsidP="003C3634">
      <w:pPr>
        <w:tabs>
          <w:tab w:val="right" w:leader="underscore" w:pos="10206"/>
        </w:tabs>
        <w:ind w:firstLine="0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 xml:space="preserve">Рекомендации </w:t>
      </w:r>
      <w:r w:rsidR="003C3634">
        <w:rPr>
          <w:rFonts w:eastAsia="Times New Roman" w:cs="Times New Roman"/>
          <w:szCs w:val="24"/>
          <w:lang w:eastAsia="ru-RU"/>
        </w:rPr>
        <w:t xml:space="preserve">по списанию носителя информации </w:t>
      </w:r>
      <w:r w:rsidR="003C3634">
        <w:rPr>
          <w:rFonts w:eastAsia="Times New Roman" w:cs="Times New Roman"/>
          <w:szCs w:val="24"/>
          <w:lang w:eastAsia="ru-RU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Times New Roman" w:cs="Times New Roman"/>
          <w:szCs w:val="24"/>
          <w:lang w:eastAsia="ru-RU"/>
        </w:rPr>
      </w:pP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</w:p>
    <w:p w:rsidR="00776806" w:rsidRPr="00776806" w:rsidRDefault="00776806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3C3634" w:rsidRDefault="003C3634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776806" w:rsidRPr="00776806" w:rsidRDefault="00776806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>Председатель комиссии</w:t>
      </w:r>
      <w:r w:rsidRPr="00776806">
        <w:rPr>
          <w:rFonts w:ascii="Arial" w:eastAsia="Times New Roman" w:hAnsi="Arial" w:cs="Arial"/>
          <w:szCs w:val="24"/>
          <w:lang w:eastAsia="ru-RU"/>
        </w:rPr>
        <w:tab/>
      </w:r>
      <w:r w:rsidRPr="00776806">
        <w:rPr>
          <w:rFonts w:eastAsia="Times New Roman" w:hAnsi="Arial" w:cs="Times New Roman"/>
          <w:szCs w:val="24"/>
          <w:lang w:eastAsia="ru-RU"/>
        </w:rPr>
        <w:t>(</w:t>
      </w:r>
      <w:r w:rsidRPr="00776806">
        <w:rPr>
          <w:rFonts w:eastAsia="Times New Roman" w:cs="Times New Roman"/>
          <w:szCs w:val="24"/>
          <w:lang w:eastAsia="ru-RU"/>
        </w:rPr>
        <w:t>подпись)</w:t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 xml:space="preserve"> __________________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776806" w:rsidRPr="00776806" w:rsidRDefault="00776806" w:rsidP="00776806">
      <w:pPr>
        <w:autoSpaceDE w:val="0"/>
        <w:autoSpaceDN w:val="0"/>
        <w:adjustRightInd w:val="0"/>
        <w:ind w:firstLine="1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>Члены комиссии:</w:t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>(подпись)</w:t>
      </w:r>
      <w:r w:rsidRPr="00776806">
        <w:rPr>
          <w:rFonts w:ascii="Arial" w:eastAsia="Times New Roman" w:cs="Arial"/>
          <w:szCs w:val="24"/>
          <w:lang w:eastAsia="ru-RU"/>
        </w:rPr>
        <w:tab/>
        <w:t xml:space="preserve"> </w:t>
      </w:r>
      <w:r w:rsidRPr="00776806">
        <w:rPr>
          <w:rFonts w:eastAsia="Times New Roman" w:cs="Times New Roman"/>
          <w:szCs w:val="24"/>
          <w:lang w:eastAsia="ru-RU"/>
        </w:rPr>
        <w:t>__________________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776806" w:rsidRPr="006E6517" w:rsidRDefault="00776806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  <w:t>(подпись)</w:t>
      </w:r>
      <w:r w:rsidRPr="00776806">
        <w:rPr>
          <w:rFonts w:ascii="Arial" w:eastAsia="Times New Roman" w:cs="Arial"/>
          <w:szCs w:val="24"/>
          <w:lang w:eastAsia="ru-RU"/>
        </w:rPr>
        <w:tab/>
        <w:t xml:space="preserve"> </w:t>
      </w:r>
      <w:r w:rsidRPr="00776806">
        <w:rPr>
          <w:rFonts w:eastAsia="Times New Roman" w:cs="Times New Roman"/>
          <w:szCs w:val="24"/>
          <w:lang w:eastAsia="ru-RU"/>
        </w:rPr>
        <w:t>_________________________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FB25D6" w:rsidRDefault="00FB25D6" w:rsidP="008E61EB"/>
    <w:p w:rsidR="00FB25D6" w:rsidRDefault="00FB25D6" w:rsidP="008E61EB"/>
    <w:p w:rsidR="00776806" w:rsidRDefault="00776806">
      <w:pPr>
        <w:spacing w:after="160" w:line="259" w:lineRule="auto"/>
        <w:ind w:firstLine="0"/>
        <w:jc w:val="left"/>
      </w:pPr>
      <w:r>
        <w:br w:type="page"/>
      </w:r>
    </w:p>
    <w:p w:rsidR="00FB25D6" w:rsidRDefault="00776806" w:rsidP="00776806">
      <w:pPr>
        <w:pStyle w:val="1"/>
      </w:pPr>
      <w:bookmarkStart w:id="20" w:name="_Toc448308236"/>
      <w:r>
        <w:lastRenderedPageBreak/>
        <w:t>Приложение 2</w:t>
      </w:r>
      <w:bookmarkEnd w:id="20"/>
    </w:p>
    <w:p w:rsidR="00776806" w:rsidRPr="00776806" w:rsidRDefault="003C3634" w:rsidP="00776806">
      <w:pPr>
        <w:ind w:firstLine="0"/>
        <w:jc w:val="center"/>
      </w:pPr>
      <w:r>
        <w:t>Типовая ф</w:t>
      </w:r>
      <w:r w:rsidR="00776806">
        <w:t>орма акта уничтожения носителей информации</w:t>
      </w:r>
    </w:p>
    <w:p w:rsidR="00FB25D6" w:rsidRDefault="00FB25D6" w:rsidP="008E61EB"/>
    <w:p w:rsidR="00776806" w:rsidRDefault="00776806" w:rsidP="008E61EB"/>
    <w:p w:rsidR="00776806" w:rsidRDefault="00776806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 xml:space="preserve">Основание: приказ </w:t>
      </w:r>
      <w:r w:rsidR="003C3634">
        <w:rPr>
          <w:rFonts w:eastAsia="Calibri" w:cs="Times New Roman"/>
          <w:kern w:val="1"/>
          <w:szCs w:val="24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ab/>
      </w:r>
    </w:p>
    <w:p w:rsid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</w:p>
    <w:p w:rsidR="003C3634" w:rsidRPr="00776806" w:rsidRDefault="003C3634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</w:p>
    <w:p w:rsidR="00776806" w:rsidRDefault="00776806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 xml:space="preserve">Комиссия в составе: председателя </w:t>
      </w:r>
      <w:r w:rsidR="003C3634">
        <w:rPr>
          <w:rFonts w:eastAsia="Calibri" w:cs="Times New Roman"/>
          <w:kern w:val="1"/>
          <w:szCs w:val="24"/>
        </w:rPr>
        <w:tab/>
      </w: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776806" w:rsidRDefault="00776806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 xml:space="preserve">и членов комиссии: </w:t>
      </w:r>
      <w:r w:rsidR="003C3634">
        <w:rPr>
          <w:rFonts w:eastAsia="Calibri" w:cs="Times New Roman"/>
          <w:kern w:val="1"/>
          <w:szCs w:val="24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ab/>
      </w:r>
    </w:p>
    <w:p w:rsidR="003C3634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3C3634" w:rsidRPr="00776806" w:rsidRDefault="003C3634" w:rsidP="003C3634">
      <w:pPr>
        <w:tabs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776806" w:rsidRP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>произвела наружный осмотр и сверила с данными регистрационного учета следующие носители информации:</w:t>
      </w:r>
    </w:p>
    <w:p w:rsidR="00776806" w:rsidRP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260"/>
        <w:gridCol w:w="2803"/>
        <w:gridCol w:w="3025"/>
      </w:tblGrid>
      <w:tr w:rsidR="00776806" w:rsidRPr="003C3634" w:rsidTr="00BF3BCD">
        <w:trPr>
          <w:trHeight w:val="454"/>
          <w:jc w:val="center"/>
        </w:trPr>
        <w:tc>
          <w:tcPr>
            <w:tcW w:w="988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3260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Тип носителя</w:t>
            </w:r>
          </w:p>
        </w:tc>
        <w:tc>
          <w:tcPr>
            <w:tcW w:w="2803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Учетный номер носителя</w:t>
            </w:r>
          </w:p>
        </w:tc>
        <w:tc>
          <w:tcPr>
            <w:tcW w:w="3025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C3634">
              <w:rPr>
                <w:rFonts w:eastAsia="Times New Roman" w:cs="Times New Roman"/>
                <w:sz w:val="20"/>
                <w:lang w:eastAsia="ru-RU"/>
              </w:rPr>
              <w:t>Серийный (заводской)</w:t>
            </w:r>
            <w:r w:rsidRPr="003C3634">
              <w:rPr>
                <w:rFonts w:eastAsia="Times New Roman" w:cs="Times New Roman"/>
                <w:sz w:val="20"/>
                <w:lang w:eastAsia="ru-RU"/>
              </w:rPr>
              <w:br/>
              <w:t xml:space="preserve"> номер носителя</w:t>
            </w:r>
          </w:p>
        </w:tc>
      </w:tr>
      <w:tr w:rsidR="00776806" w:rsidRPr="003C3634" w:rsidTr="00BF3BCD">
        <w:trPr>
          <w:trHeight w:val="454"/>
          <w:jc w:val="center"/>
        </w:trPr>
        <w:tc>
          <w:tcPr>
            <w:tcW w:w="988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BF3BCD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3260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BF3BCD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803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BF3BCD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3025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BF3BCD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</w:tr>
      <w:tr w:rsidR="00776806" w:rsidRPr="003C3634" w:rsidTr="00BF3BCD">
        <w:trPr>
          <w:trHeight w:val="454"/>
          <w:jc w:val="center"/>
        </w:trPr>
        <w:tc>
          <w:tcPr>
            <w:tcW w:w="988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803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3025" w:type="dxa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776806" w:rsidRPr="003C3634" w:rsidRDefault="00776806" w:rsidP="00BF3BCD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</w:tbl>
    <w:p w:rsidR="00776806" w:rsidRP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 w:val="26"/>
          <w:szCs w:val="26"/>
        </w:rPr>
      </w:pPr>
    </w:p>
    <w:p w:rsidR="00776806" w:rsidRPr="00776806" w:rsidRDefault="00776806" w:rsidP="00BF3BCD">
      <w:pPr>
        <w:tabs>
          <w:tab w:val="left" w:leader="underscore" w:pos="4253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 xml:space="preserve">в количестве </w:t>
      </w:r>
      <w:r w:rsidR="00BF3BCD">
        <w:rPr>
          <w:rFonts w:eastAsia="Calibri" w:cs="Times New Roman"/>
          <w:kern w:val="1"/>
          <w:szCs w:val="24"/>
        </w:rPr>
        <w:tab/>
        <w:t xml:space="preserve"> </w:t>
      </w:r>
      <w:r w:rsidRPr="00776806">
        <w:rPr>
          <w:rFonts w:eastAsia="Calibri" w:cs="Times New Roman"/>
          <w:kern w:val="1"/>
          <w:szCs w:val="24"/>
        </w:rPr>
        <w:t>штук, с</w:t>
      </w:r>
      <w:r w:rsidR="00BF3BCD">
        <w:rPr>
          <w:rFonts w:eastAsia="Calibri" w:cs="Times New Roman"/>
          <w:kern w:val="1"/>
          <w:szCs w:val="24"/>
        </w:rPr>
        <w:t xml:space="preserve">писанные в соответствии с актом </w:t>
      </w:r>
      <w:r w:rsidR="00BF3BCD">
        <w:rPr>
          <w:rFonts w:eastAsia="Calibri" w:cs="Times New Roman"/>
          <w:kern w:val="1"/>
          <w:szCs w:val="24"/>
        </w:rPr>
        <w:tab/>
      </w:r>
    </w:p>
    <w:p w:rsidR="00776806" w:rsidRP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i/>
          <w:kern w:val="1"/>
          <w:sz w:val="26"/>
          <w:szCs w:val="26"/>
        </w:rPr>
      </w:pPr>
      <w:r w:rsidRPr="00776806">
        <w:rPr>
          <w:rFonts w:eastAsia="Calibri" w:cs="Times New Roman"/>
          <w:kern w:val="1"/>
          <w:sz w:val="26"/>
          <w:szCs w:val="26"/>
        </w:rPr>
        <w:tab/>
      </w:r>
      <w:r w:rsidRPr="00776806">
        <w:rPr>
          <w:rFonts w:eastAsia="Calibri" w:cs="Times New Roman"/>
          <w:kern w:val="1"/>
          <w:sz w:val="26"/>
          <w:szCs w:val="26"/>
        </w:rPr>
        <w:tab/>
      </w:r>
      <w:r w:rsidRPr="00776806">
        <w:rPr>
          <w:rFonts w:eastAsia="Calibri" w:cs="Times New Roman"/>
          <w:kern w:val="1"/>
          <w:sz w:val="26"/>
          <w:szCs w:val="26"/>
        </w:rPr>
        <w:tab/>
      </w:r>
      <w:r w:rsidRPr="00BF3BCD">
        <w:rPr>
          <w:rFonts w:eastAsia="Calibri" w:cs="Times New Roman"/>
          <w:i/>
          <w:kern w:val="1"/>
          <w:sz w:val="18"/>
          <w:szCs w:val="26"/>
        </w:rPr>
        <w:t>(число прописью)</w:t>
      </w:r>
    </w:p>
    <w:p w:rsidR="00BF3BCD" w:rsidRDefault="00BF3BCD" w:rsidP="00BF3BCD">
      <w:pPr>
        <w:tabs>
          <w:tab w:val="left" w:leader="underscore" w:pos="5670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ab/>
        <w:t xml:space="preserve"> </w:t>
      </w:r>
      <w:r w:rsidR="00776806" w:rsidRPr="00776806">
        <w:rPr>
          <w:rFonts w:eastAsia="Calibri" w:cs="Times New Roman"/>
          <w:kern w:val="1"/>
          <w:szCs w:val="24"/>
        </w:rPr>
        <w:t xml:space="preserve">по причине непригодности к дальнейшему </w:t>
      </w:r>
    </w:p>
    <w:p w:rsidR="00BF3BCD" w:rsidRDefault="00BF3BCD" w:rsidP="00BF3BCD">
      <w:pPr>
        <w:tabs>
          <w:tab w:val="left" w:leader="underscore" w:pos="5670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776806" w:rsidRDefault="00776806" w:rsidP="00BF3BCD">
      <w:pPr>
        <w:tabs>
          <w:tab w:val="left" w:leader="underscore" w:pos="5670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 w:rsidRPr="00776806">
        <w:rPr>
          <w:rFonts w:eastAsia="Calibri" w:cs="Times New Roman"/>
          <w:kern w:val="1"/>
          <w:szCs w:val="24"/>
        </w:rPr>
        <w:t xml:space="preserve">использованию, и свидетельствует об их уничтожении способом </w:t>
      </w:r>
      <w:r w:rsidR="00BF3BCD">
        <w:rPr>
          <w:rFonts w:eastAsia="Calibri" w:cs="Times New Roman"/>
          <w:kern w:val="1"/>
          <w:szCs w:val="24"/>
        </w:rPr>
        <w:tab/>
      </w:r>
    </w:p>
    <w:p w:rsidR="00BF3BCD" w:rsidRPr="00776806" w:rsidRDefault="00BF3BCD" w:rsidP="00BF3BCD">
      <w:pPr>
        <w:tabs>
          <w:tab w:val="left" w:leader="underscore" w:pos="5670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</w:p>
    <w:p w:rsidR="00776806" w:rsidRPr="00776806" w:rsidRDefault="00BF3BCD" w:rsidP="00BF3BCD">
      <w:pPr>
        <w:tabs>
          <w:tab w:val="left" w:leader="underscore" w:pos="6237"/>
          <w:tab w:val="right" w:leader="underscore" w:pos="10206"/>
        </w:tabs>
        <w:ind w:firstLine="0"/>
        <w:rPr>
          <w:rFonts w:eastAsia="Calibri" w:cs="Times New Roman"/>
          <w:kern w:val="1"/>
          <w:szCs w:val="24"/>
        </w:rPr>
      </w:pPr>
      <w:r>
        <w:rPr>
          <w:rFonts w:eastAsia="Calibri" w:cs="Times New Roman"/>
          <w:kern w:val="1"/>
          <w:szCs w:val="24"/>
        </w:rPr>
        <w:tab/>
        <w:t xml:space="preserve"> </w:t>
      </w:r>
      <w:r w:rsidR="00776806" w:rsidRPr="00776806">
        <w:rPr>
          <w:rFonts w:eastAsia="Calibri" w:cs="Times New Roman"/>
          <w:kern w:val="1"/>
          <w:szCs w:val="24"/>
        </w:rPr>
        <w:t>в присутствии всех членов комиссии.</w:t>
      </w:r>
    </w:p>
    <w:p w:rsidR="00776806" w:rsidRPr="00BF3BCD" w:rsidRDefault="00776806" w:rsidP="00BF3BCD">
      <w:pPr>
        <w:widowControl w:val="0"/>
        <w:suppressAutoHyphens/>
        <w:spacing w:line="276" w:lineRule="auto"/>
        <w:ind w:left="1419" w:firstLine="708"/>
        <w:rPr>
          <w:rFonts w:eastAsia="Calibri" w:cs="Times New Roman"/>
          <w:i/>
          <w:kern w:val="1"/>
          <w:sz w:val="22"/>
          <w:szCs w:val="26"/>
        </w:rPr>
      </w:pPr>
      <w:r w:rsidRPr="00BF3BCD">
        <w:rPr>
          <w:rFonts w:eastAsia="Calibri" w:cs="Times New Roman"/>
          <w:i/>
          <w:kern w:val="1"/>
          <w:sz w:val="18"/>
          <w:szCs w:val="26"/>
        </w:rPr>
        <w:t>(способ уничтожения)</w:t>
      </w:r>
    </w:p>
    <w:p w:rsidR="00776806" w:rsidRDefault="00776806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 w:val="26"/>
          <w:szCs w:val="26"/>
        </w:rPr>
      </w:pPr>
    </w:p>
    <w:p w:rsidR="00BF3BCD" w:rsidRPr="00776806" w:rsidRDefault="00BF3BCD" w:rsidP="00776806">
      <w:pPr>
        <w:widowControl w:val="0"/>
        <w:suppressAutoHyphens/>
        <w:spacing w:line="276" w:lineRule="auto"/>
        <w:ind w:firstLine="0"/>
        <w:rPr>
          <w:rFonts w:eastAsia="Calibri" w:cs="Times New Roman"/>
          <w:kern w:val="1"/>
          <w:sz w:val="26"/>
          <w:szCs w:val="26"/>
        </w:rPr>
      </w:pPr>
    </w:p>
    <w:p w:rsidR="00776806" w:rsidRPr="006E6517" w:rsidRDefault="00776806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>Председатель комиссии</w:t>
      </w:r>
      <w:r w:rsidRPr="00776806">
        <w:rPr>
          <w:rFonts w:ascii="Arial" w:eastAsia="Times New Roman" w:hAnsi="Arial" w:cs="Arial"/>
          <w:szCs w:val="24"/>
          <w:lang w:eastAsia="ru-RU"/>
        </w:rPr>
        <w:tab/>
      </w:r>
      <w:r w:rsidRPr="00776806">
        <w:rPr>
          <w:rFonts w:eastAsia="Times New Roman" w:hAnsi="Arial" w:cs="Times New Roman"/>
          <w:szCs w:val="24"/>
          <w:lang w:eastAsia="ru-RU"/>
        </w:rPr>
        <w:t>(</w:t>
      </w:r>
      <w:r w:rsidRPr="00776806">
        <w:rPr>
          <w:rFonts w:eastAsia="Times New Roman" w:cs="Times New Roman"/>
          <w:szCs w:val="24"/>
          <w:lang w:eastAsia="ru-RU"/>
        </w:rPr>
        <w:t>подпись)</w:t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 xml:space="preserve"> __________________</w:t>
      </w:r>
      <w:r w:rsidR="00F91149" w:rsidRPr="006E6517">
        <w:rPr>
          <w:rFonts w:eastAsia="Times New Roman" w:cs="Times New Roman"/>
          <w:szCs w:val="24"/>
          <w:lang w:eastAsia="ru-RU"/>
        </w:rPr>
        <w:t>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776806" w:rsidRPr="006E6517" w:rsidRDefault="00776806" w:rsidP="00776806">
      <w:pPr>
        <w:autoSpaceDE w:val="0"/>
        <w:autoSpaceDN w:val="0"/>
        <w:adjustRightInd w:val="0"/>
        <w:ind w:firstLine="1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>Члены комиссии:</w:t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ascii="Arial" w:eastAsia="Times New Roman" w:cs="Arial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>(подпись)</w:t>
      </w:r>
      <w:r w:rsidRPr="00776806">
        <w:rPr>
          <w:rFonts w:ascii="Arial" w:eastAsia="Times New Roman" w:cs="Arial"/>
          <w:szCs w:val="24"/>
          <w:lang w:eastAsia="ru-RU"/>
        </w:rPr>
        <w:tab/>
        <w:t xml:space="preserve"> </w:t>
      </w:r>
      <w:r w:rsidRPr="00776806">
        <w:rPr>
          <w:rFonts w:eastAsia="Times New Roman" w:cs="Times New Roman"/>
          <w:szCs w:val="24"/>
          <w:lang w:eastAsia="ru-RU"/>
        </w:rPr>
        <w:t>__________________</w:t>
      </w:r>
      <w:r w:rsidR="00F91149" w:rsidRPr="006E6517">
        <w:rPr>
          <w:rFonts w:eastAsia="Times New Roman" w:cs="Times New Roman"/>
          <w:szCs w:val="24"/>
          <w:lang w:eastAsia="ru-RU"/>
        </w:rPr>
        <w:t>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776806" w:rsidRPr="00776806" w:rsidRDefault="00776806" w:rsidP="00776806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</w:r>
      <w:r w:rsidRPr="00776806">
        <w:rPr>
          <w:rFonts w:eastAsia="Times New Roman" w:cs="Times New Roman"/>
          <w:szCs w:val="24"/>
          <w:lang w:eastAsia="ru-RU"/>
        </w:rPr>
        <w:tab/>
        <w:t>(подпись)</w:t>
      </w:r>
      <w:r w:rsidRPr="00776806">
        <w:rPr>
          <w:rFonts w:ascii="Arial" w:eastAsia="Times New Roman" w:cs="Arial"/>
          <w:szCs w:val="24"/>
          <w:lang w:eastAsia="ru-RU"/>
        </w:rPr>
        <w:tab/>
        <w:t xml:space="preserve"> </w:t>
      </w:r>
      <w:r w:rsidR="00F91149">
        <w:rPr>
          <w:rFonts w:eastAsia="Times New Roman" w:cs="Times New Roman"/>
          <w:szCs w:val="24"/>
          <w:lang w:eastAsia="ru-RU"/>
        </w:rPr>
        <w:t>_____________________</w:t>
      </w:r>
    </w:p>
    <w:p w:rsidR="00776806" w:rsidRPr="00776806" w:rsidRDefault="00776806" w:rsidP="00776806">
      <w:pPr>
        <w:tabs>
          <w:tab w:val="left" w:pos="4680"/>
        </w:tabs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6"/>
          <w:szCs w:val="26"/>
          <w:vertAlign w:val="superscript"/>
          <w:lang w:eastAsia="ru-RU"/>
        </w:rPr>
      </w:pPr>
      <w:r w:rsidRPr="00776806">
        <w:rPr>
          <w:rFonts w:eastAsia="Times New Roman" w:cs="Times New Roman"/>
          <w:bCs/>
          <w:sz w:val="20"/>
          <w:szCs w:val="18"/>
          <w:vertAlign w:val="superscript"/>
          <w:lang w:eastAsia="ru-RU"/>
        </w:rPr>
        <w:tab/>
      </w:r>
      <w:r w:rsidRPr="00776806">
        <w:rPr>
          <w:rFonts w:eastAsia="Times New Roman" w:cs="Times New Roman"/>
          <w:bCs/>
          <w:sz w:val="26"/>
          <w:szCs w:val="26"/>
          <w:vertAlign w:val="superscript"/>
          <w:lang w:eastAsia="ru-RU"/>
        </w:rPr>
        <w:t>(расшифровка подписи)</w:t>
      </w:r>
    </w:p>
    <w:p w:rsidR="00776806" w:rsidRDefault="00776806" w:rsidP="008E61EB"/>
    <w:p w:rsidR="00776806" w:rsidRPr="00776806" w:rsidRDefault="00776806" w:rsidP="008E61EB"/>
    <w:p w:rsidR="008F6B28" w:rsidRDefault="008F6B28" w:rsidP="008E61EB"/>
    <w:sectPr w:rsidR="008F6B28" w:rsidSect="00A7192B">
      <w:footerReference w:type="default" r:id="rId8"/>
      <w:footerReference w:type="first" r:id="rId9"/>
      <w:pgSz w:w="11906" w:h="16838" w:code="9"/>
      <w:pgMar w:top="1134" w:right="567" w:bottom="1134" w:left="1134" w:header="624" w:footer="227" w:gutter="0"/>
      <w:pgNumType w:start="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1E" w:rsidRDefault="0041291E" w:rsidP="00336FD7">
      <w:r>
        <w:separator/>
      </w:r>
    </w:p>
  </w:endnote>
  <w:endnote w:type="continuationSeparator" w:id="0">
    <w:p w:rsidR="0041291E" w:rsidRDefault="0041291E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445496"/>
      <w:docPartObj>
        <w:docPartGallery w:val="Page Numbers (Bottom of Page)"/>
        <w:docPartUnique/>
      </w:docPartObj>
    </w:sdtPr>
    <w:sdtEndPr/>
    <w:sdtContent>
      <w:p w:rsidR="00CF5D6B" w:rsidRDefault="00CF5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69B">
          <w:rPr>
            <w:noProof/>
          </w:rPr>
          <w:t>140</w:t>
        </w:r>
        <w:r>
          <w:fldChar w:fldCharType="end"/>
        </w:r>
      </w:p>
    </w:sdtContent>
  </w:sdt>
  <w:p w:rsidR="00CF5D6B" w:rsidRDefault="00CF5D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6B" w:rsidRPr="008F145B" w:rsidRDefault="00CF5D6B" w:rsidP="008F145B">
    <w:pPr>
      <w:ind w:firstLine="0"/>
      <w:jc w:val="center"/>
      <w:rPr>
        <w:sz w:val="20"/>
      </w:rPr>
    </w:pPr>
  </w:p>
  <w:p w:rsidR="00CF5D6B" w:rsidRDefault="00CF5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1E" w:rsidRDefault="0041291E" w:rsidP="00336FD7">
      <w:r>
        <w:separator/>
      </w:r>
    </w:p>
  </w:footnote>
  <w:footnote w:type="continuationSeparator" w:id="0">
    <w:p w:rsidR="0041291E" w:rsidRDefault="0041291E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810"/>
    <w:multiLevelType w:val="hybridMultilevel"/>
    <w:tmpl w:val="2A5A1BF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575A39"/>
    <w:multiLevelType w:val="multilevel"/>
    <w:tmpl w:val="006A5F7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DB35A5B"/>
    <w:multiLevelType w:val="hybridMultilevel"/>
    <w:tmpl w:val="511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16"/>
  </w:num>
  <w:num w:numId="5">
    <w:abstractNumId w:val="24"/>
  </w:num>
  <w:num w:numId="6">
    <w:abstractNumId w:val="27"/>
  </w:num>
  <w:num w:numId="7">
    <w:abstractNumId w:val="19"/>
  </w:num>
  <w:num w:numId="8">
    <w:abstractNumId w:val="1"/>
  </w:num>
  <w:num w:numId="9">
    <w:abstractNumId w:val="0"/>
  </w:num>
  <w:num w:numId="10">
    <w:abstractNumId w:val="11"/>
  </w:num>
  <w:num w:numId="11">
    <w:abstractNumId w:val="26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17"/>
  </w:num>
  <w:num w:numId="19">
    <w:abstractNumId w:val="28"/>
  </w:num>
  <w:num w:numId="20">
    <w:abstractNumId w:val="22"/>
  </w:num>
  <w:num w:numId="21">
    <w:abstractNumId w:val="6"/>
  </w:num>
  <w:num w:numId="22">
    <w:abstractNumId w:val="5"/>
  </w:num>
  <w:num w:numId="23">
    <w:abstractNumId w:val="13"/>
  </w:num>
  <w:num w:numId="24">
    <w:abstractNumId w:val="7"/>
  </w:num>
  <w:num w:numId="25">
    <w:abstractNumId w:val="4"/>
  </w:num>
  <w:num w:numId="26">
    <w:abstractNumId w:val="15"/>
  </w:num>
  <w:num w:numId="27">
    <w:abstractNumId w:val="8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3788"/>
    <w:rsid w:val="000375D5"/>
    <w:rsid w:val="0004170A"/>
    <w:rsid w:val="00055983"/>
    <w:rsid w:val="0006436B"/>
    <w:rsid w:val="000838F6"/>
    <w:rsid w:val="0009363F"/>
    <w:rsid w:val="00095F4B"/>
    <w:rsid w:val="000B0C20"/>
    <w:rsid w:val="000C01BA"/>
    <w:rsid w:val="000C4A1F"/>
    <w:rsid w:val="000C5FB3"/>
    <w:rsid w:val="000E0032"/>
    <w:rsid w:val="000F052B"/>
    <w:rsid w:val="000F6912"/>
    <w:rsid w:val="00107A0A"/>
    <w:rsid w:val="00114CD6"/>
    <w:rsid w:val="00120A9C"/>
    <w:rsid w:val="001346BF"/>
    <w:rsid w:val="0013577D"/>
    <w:rsid w:val="001378A8"/>
    <w:rsid w:val="001461E4"/>
    <w:rsid w:val="00162374"/>
    <w:rsid w:val="001702B6"/>
    <w:rsid w:val="00176D72"/>
    <w:rsid w:val="001915D7"/>
    <w:rsid w:val="001A58F2"/>
    <w:rsid w:val="001B688E"/>
    <w:rsid w:val="001D5CB3"/>
    <w:rsid w:val="001E00B4"/>
    <w:rsid w:val="001E0481"/>
    <w:rsid w:val="001E08DB"/>
    <w:rsid w:val="001F23C2"/>
    <w:rsid w:val="00201FFC"/>
    <w:rsid w:val="00224BC3"/>
    <w:rsid w:val="00234B0F"/>
    <w:rsid w:val="00236A97"/>
    <w:rsid w:val="00240AE5"/>
    <w:rsid w:val="00243E5D"/>
    <w:rsid w:val="00250A9D"/>
    <w:rsid w:val="002565C3"/>
    <w:rsid w:val="00260CA8"/>
    <w:rsid w:val="00261136"/>
    <w:rsid w:val="00262BCE"/>
    <w:rsid w:val="00263CB4"/>
    <w:rsid w:val="00266A22"/>
    <w:rsid w:val="002712B6"/>
    <w:rsid w:val="002747B1"/>
    <w:rsid w:val="00282ABA"/>
    <w:rsid w:val="002971C3"/>
    <w:rsid w:val="00297560"/>
    <w:rsid w:val="002A6899"/>
    <w:rsid w:val="002A7429"/>
    <w:rsid w:val="002A7A44"/>
    <w:rsid w:val="002D5B12"/>
    <w:rsid w:val="002E7246"/>
    <w:rsid w:val="0031191A"/>
    <w:rsid w:val="00317A8D"/>
    <w:rsid w:val="00330FC1"/>
    <w:rsid w:val="00332714"/>
    <w:rsid w:val="00336D70"/>
    <w:rsid w:val="00336FD7"/>
    <w:rsid w:val="003551D9"/>
    <w:rsid w:val="00375819"/>
    <w:rsid w:val="00377B1E"/>
    <w:rsid w:val="00394730"/>
    <w:rsid w:val="003A01A6"/>
    <w:rsid w:val="003A5990"/>
    <w:rsid w:val="003A5D4E"/>
    <w:rsid w:val="003B1029"/>
    <w:rsid w:val="003C16C2"/>
    <w:rsid w:val="003C3634"/>
    <w:rsid w:val="003C5D0A"/>
    <w:rsid w:val="003C7DFD"/>
    <w:rsid w:val="004121D8"/>
    <w:rsid w:val="0041291E"/>
    <w:rsid w:val="0041341F"/>
    <w:rsid w:val="00424246"/>
    <w:rsid w:val="0043472C"/>
    <w:rsid w:val="0044546B"/>
    <w:rsid w:val="00447195"/>
    <w:rsid w:val="00451A6B"/>
    <w:rsid w:val="0045406A"/>
    <w:rsid w:val="00464F02"/>
    <w:rsid w:val="004730CE"/>
    <w:rsid w:val="00483FD8"/>
    <w:rsid w:val="0049319F"/>
    <w:rsid w:val="00494CA4"/>
    <w:rsid w:val="004975CB"/>
    <w:rsid w:val="004A264D"/>
    <w:rsid w:val="004A5465"/>
    <w:rsid w:val="004C2199"/>
    <w:rsid w:val="004C23D2"/>
    <w:rsid w:val="004D3F51"/>
    <w:rsid w:val="004E362D"/>
    <w:rsid w:val="004F11E6"/>
    <w:rsid w:val="005042C3"/>
    <w:rsid w:val="00506A29"/>
    <w:rsid w:val="00506AF7"/>
    <w:rsid w:val="005325D5"/>
    <w:rsid w:val="00544532"/>
    <w:rsid w:val="00547C52"/>
    <w:rsid w:val="00557B12"/>
    <w:rsid w:val="00562D8C"/>
    <w:rsid w:val="00566935"/>
    <w:rsid w:val="005B2889"/>
    <w:rsid w:val="005B3BD5"/>
    <w:rsid w:val="005D11A1"/>
    <w:rsid w:val="005D12C8"/>
    <w:rsid w:val="005D6C25"/>
    <w:rsid w:val="005E7882"/>
    <w:rsid w:val="00600E0D"/>
    <w:rsid w:val="0062003F"/>
    <w:rsid w:val="0062114F"/>
    <w:rsid w:val="00622285"/>
    <w:rsid w:val="006467CD"/>
    <w:rsid w:val="00655462"/>
    <w:rsid w:val="00662145"/>
    <w:rsid w:val="006716A8"/>
    <w:rsid w:val="00671B20"/>
    <w:rsid w:val="00672875"/>
    <w:rsid w:val="00677D3B"/>
    <w:rsid w:val="006817C6"/>
    <w:rsid w:val="006B1957"/>
    <w:rsid w:val="006E6517"/>
    <w:rsid w:val="006F7DB4"/>
    <w:rsid w:val="00702E89"/>
    <w:rsid w:val="007066AC"/>
    <w:rsid w:val="00724130"/>
    <w:rsid w:val="00726818"/>
    <w:rsid w:val="00736A2E"/>
    <w:rsid w:val="0074369B"/>
    <w:rsid w:val="00745E39"/>
    <w:rsid w:val="00751449"/>
    <w:rsid w:val="00754204"/>
    <w:rsid w:val="00773A54"/>
    <w:rsid w:val="00776806"/>
    <w:rsid w:val="007851D5"/>
    <w:rsid w:val="00790466"/>
    <w:rsid w:val="007970C9"/>
    <w:rsid w:val="007A1204"/>
    <w:rsid w:val="007A2403"/>
    <w:rsid w:val="007A3258"/>
    <w:rsid w:val="007B3435"/>
    <w:rsid w:val="007B57EE"/>
    <w:rsid w:val="007B6E5E"/>
    <w:rsid w:val="007C72FA"/>
    <w:rsid w:val="007D62E2"/>
    <w:rsid w:val="007D71B9"/>
    <w:rsid w:val="007E06A3"/>
    <w:rsid w:val="007F1619"/>
    <w:rsid w:val="00801AFE"/>
    <w:rsid w:val="00802E63"/>
    <w:rsid w:val="00847399"/>
    <w:rsid w:val="00852B2E"/>
    <w:rsid w:val="00853D1C"/>
    <w:rsid w:val="00863E5D"/>
    <w:rsid w:val="008643D2"/>
    <w:rsid w:val="00865E7E"/>
    <w:rsid w:val="0088053A"/>
    <w:rsid w:val="008831CA"/>
    <w:rsid w:val="00884A1F"/>
    <w:rsid w:val="0088542D"/>
    <w:rsid w:val="008950C1"/>
    <w:rsid w:val="008A12DE"/>
    <w:rsid w:val="008A7319"/>
    <w:rsid w:val="008B4B1D"/>
    <w:rsid w:val="008C06B3"/>
    <w:rsid w:val="008C3EB8"/>
    <w:rsid w:val="008C65D1"/>
    <w:rsid w:val="008E281E"/>
    <w:rsid w:val="008E61EB"/>
    <w:rsid w:val="008F145B"/>
    <w:rsid w:val="008F6B28"/>
    <w:rsid w:val="0090520E"/>
    <w:rsid w:val="00905C15"/>
    <w:rsid w:val="00910985"/>
    <w:rsid w:val="00916EA1"/>
    <w:rsid w:val="00935920"/>
    <w:rsid w:val="00935A05"/>
    <w:rsid w:val="00941A8B"/>
    <w:rsid w:val="0094498E"/>
    <w:rsid w:val="009506D7"/>
    <w:rsid w:val="00970A23"/>
    <w:rsid w:val="009813E6"/>
    <w:rsid w:val="0098500E"/>
    <w:rsid w:val="00986D3C"/>
    <w:rsid w:val="009C0B93"/>
    <w:rsid w:val="009C5CF2"/>
    <w:rsid w:val="009F75A7"/>
    <w:rsid w:val="00A00151"/>
    <w:rsid w:val="00A02D49"/>
    <w:rsid w:val="00A137EE"/>
    <w:rsid w:val="00A14CB7"/>
    <w:rsid w:val="00A2767F"/>
    <w:rsid w:val="00A30AAA"/>
    <w:rsid w:val="00A3133E"/>
    <w:rsid w:val="00A44591"/>
    <w:rsid w:val="00A47A8C"/>
    <w:rsid w:val="00A51FA6"/>
    <w:rsid w:val="00A55E8A"/>
    <w:rsid w:val="00A63687"/>
    <w:rsid w:val="00A64A70"/>
    <w:rsid w:val="00A7192B"/>
    <w:rsid w:val="00A76DFB"/>
    <w:rsid w:val="00A87066"/>
    <w:rsid w:val="00A90BBC"/>
    <w:rsid w:val="00AA2119"/>
    <w:rsid w:val="00AA4E8C"/>
    <w:rsid w:val="00AB6937"/>
    <w:rsid w:val="00AC411D"/>
    <w:rsid w:val="00AD0B64"/>
    <w:rsid w:val="00AD71FB"/>
    <w:rsid w:val="00AE4BCF"/>
    <w:rsid w:val="00B05FD8"/>
    <w:rsid w:val="00B10452"/>
    <w:rsid w:val="00B21375"/>
    <w:rsid w:val="00B21CBC"/>
    <w:rsid w:val="00B26002"/>
    <w:rsid w:val="00B3549A"/>
    <w:rsid w:val="00B4093B"/>
    <w:rsid w:val="00B450A4"/>
    <w:rsid w:val="00B615C8"/>
    <w:rsid w:val="00B63360"/>
    <w:rsid w:val="00B642C0"/>
    <w:rsid w:val="00B64527"/>
    <w:rsid w:val="00B64EDD"/>
    <w:rsid w:val="00B6569B"/>
    <w:rsid w:val="00B6707C"/>
    <w:rsid w:val="00B744A4"/>
    <w:rsid w:val="00B8043C"/>
    <w:rsid w:val="00B81AA9"/>
    <w:rsid w:val="00B83F5E"/>
    <w:rsid w:val="00B8434C"/>
    <w:rsid w:val="00B93F9A"/>
    <w:rsid w:val="00BA0CD7"/>
    <w:rsid w:val="00BA6AC2"/>
    <w:rsid w:val="00BB12D8"/>
    <w:rsid w:val="00BC2322"/>
    <w:rsid w:val="00BC4D6A"/>
    <w:rsid w:val="00BD0600"/>
    <w:rsid w:val="00BD4DD3"/>
    <w:rsid w:val="00BD5806"/>
    <w:rsid w:val="00BE1AC3"/>
    <w:rsid w:val="00BE3C24"/>
    <w:rsid w:val="00BE4173"/>
    <w:rsid w:val="00BE771C"/>
    <w:rsid w:val="00BF3BCD"/>
    <w:rsid w:val="00BF4FBA"/>
    <w:rsid w:val="00C02122"/>
    <w:rsid w:val="00C11C98"/>
    <w:rsid w:val="00C211F2"/>
    <w:rsid w:val="00C233D2"/>
    <w:rsid w:val="00C303E9"/>
    <w:rsid w:val="00C42968"/>
    <w:rsid w:val="00C50885"/>
    <w:rsid w:val="00C6685F"/>
    <w:rsid w:val="00C75160"/>
    <w:rsid w:val="00C87DA3"/>
    <w:rsid w:val="00C95F26"/>
    <w:rsid w:val="00CA79BA"/>
    <w:rsid w:val="00CB1DBE"/>
    <w:rsid w:val="00CB6738"/>
    <w:rsid w:val="00CC4C4A"/>
    <w:rsid w:val="00CC5669"/>
    <w:rsid w:val="00CD287F"/>
    <w:rsid w:val="00CD3014"/>
    <w:rsid w:val="00CE4D57"/>
    <w:rsid w:val="00CF0E4E"/>
    <w:rsid w:val="00CF5D6B"/>
    <w:rsid w:val="00D0155E"/>
    <w:rsid w:val="00D128B6"/>
    <w:rsid w:val="00D131DA"/>
    <w:rsid w:val="00D172D7"/>
    <w:rsid w:val="00D51A50"/>
    <w:rsid w:val="00D54559"/>
    <w:rsid w:val="00D56733"/>
    <w:rsid w:val="00D61B07"/>
    <w:rsid w:val="00D61DCA"/>
    <w:rsid w:val="00D63093"/>
    <w:rsid w:val="00D73229"/>
    <w:rsid w:val="00D74B2C"/>
    <w:rsid w:val="00D752E4"/>
    <w:rsid w:val="00D7671F"/>
    <w:rsid w:val="00D80BBD"/>
    <w:rsid w:val="00D83697"/>
    <w:rsid w:val="00D93CC9"/>
    <w:rsid w:val="00DA0628"/>
    <w:rsid w:val="00DB4279"/>
    <w:rsid w:val="00DC1878"/>
    <w:rsid w:val="00DC3940"/>
    <w:rsid w:val="00DF7258"/>
    <w:rsid w:val="00E047B9"/>
    <w:rsid w:val="00E05B61"/>
    <w:rsid w:val="00E15EA3"/>
    <w:rsid w:val="00E245A0"/>
    <w:rsid w:val="00E251A1"/>
    <w:rsid w:val="00E25FE1"/>
    <w:rsid w:val="00E30093"/>
    <w:rsid w:val="00E313BA"/>
    <w:rsid w:val="00E4235C"/>
    <w:rsid w:val="00E44CE0"/>
    <w:rsid w:val="00E55997"/>
    <w:rsid w:val="00E6064A"/>
    <w:rsid w:val="00E644CD"/>
    <w:rsid w:val="00E7329A"/>
    <w:rsid w:val="00E80526"/>
    <w:rsid w:val="00E92070"/>
    <w:rsid w:val="00EA382A"/>
    <w:rsid w:val="00EA48CA"/>
    <w:rsid w:val="00EA4B3D"/>
    <w:rsid w:val="00EB750B"/>
    <w:rsid w:val="00EC24CA"/>
    <w:rsid w:val="00ED64D3"/>
    <w:rsid w:val="00EE340F"/>
    <w:rsid w:val="00EE3B79"/>
    <w:rsid w:val="00EE5329"/>
    <w:rsid w:val="00F22408"/>
    <w:rsid w:val="00F22725"/>
    <w:rsid w:val="00F2402C"/>
    <w:rsid w:val="00F2705E"/>
    <w:rsid w:val="00F63955"/>
    <w:rsid w:val="00F65364"/>
    <w:rsid w:val="00F66CEB"/>
    <w:rsid w:val="00F74CCA"/>
    <w:rsid w:val="00F75DB5"/>
    <w:rsid w:val="00F91149"/>
    <w:rsid w:val="00F96A2C"/>
    <w:rsid w:val="00FB25D6"/>
    <w:rsid w:val="00FB57DE"/>
    <w:rsid w:val="00FC05CC"/>
    <w:rsid w:val="00FC0B7F"/>
    <w:rsid w:val="00FC69A8"/>
    <w:rsid w:val="00FD2D59"/>
    <w:rsid w:val="00FD3949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C5FB3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B3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Название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72875"/>
    <w:pPr>
      <w:tabs>
        <w:tab w:val="right" w:leader="dot" w:pos="10195"/>
      </w:tabs>
      <w:ind w:left="238" w:firstLine="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0C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7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AA3D-DD58-4243-93AD-1C4E9CF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8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Андрей Гащенко</cp:lastModifiedBy>
  <cp:revision>171</cp:revision>
  <cp:lastPrinted>2016-01-19T06:29:00Z</cp:lastPrinted>
  <dcterms:created xsi:type="dcterms:W3CDTF">2016-01-11T12:24:00Z</dcterms:created>
  <dcterms:modified xsi:type="dcterms:W3CDTF">2021-04-28T09:38:00Z</dcterms:modified>
</cp:coreProperties>
</file>