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40" w:rsidRPr="009D4EAE" w:rsidRDefault="00D46E40" w:rsidP="00D46E40">
      <w:pPr>
        <w:contextualSpacing/>
        <w:jc w:val="center"/>
        <w:rPr>
          <w:color w:val="000000"/>
          <w:sz w:val="24"/>
          <w:szCs w:val="24"/>
        </w:rPr>
      </w:pPr>
      <w:r w:rsidRPr="00D46E40">
        <w:rPr>
          <w:rFonts w:eastAsia="Calibri"/>
          <w:b/>
          <w:sz w:val="24"/>
          <w:szCs w:val="24"/>
          <w:lang w:eastAsia="en-US"/>
        </w:rPr>
        <w:t>Вопросы к экзамену</w:t>
      </w:r>
      <w:r>
        <w:rPr>
          <w:rFonts w:eastAsia="Calibri"/>
          <w:b/>
          <w:sz w:val="24"/>
          <w:szCs w:val="24"/>
          <w:lang w:eastAsia="en-US"/>
        </w:rPr>
        <w:t xml:space="preserve"> по дисциплине</w:t>
      </w:r>
      <w:r>
        <w:rPr>
          <w:rFonts w:eastAsia="Calibri"/>
          <w:b/>
          <w:sz w:val="24"/>
          <w:szCs w:val="24"/>
          <w:lang w:eastAsia="en-US"/>
        </w:rPr>
        <w:br/>
      </w:r>
      <w:r w:rsidRPr="00D46E40">
        <w:rPr>
          <w:b/>
          <w:color w:val="000000"/>
          <w:sz w:val="24"/>
          <w:szCs w:val="24"/>
        </w:rPr>
        <w:t>«</w:t>
      </w:r>
      <w:r w:rsidRPr="00D46E40">
        <w:rPr>
          <w:b/>
          <w:color w:val="000000"/>
          <w:sz w:val="24"/>
          <w:szCs w:val="24"/>
        </w:rPr>
        <w:t>Проектирование и исследование по профилю подготовки</w:t>
      </w:r>
      <w:r w:rsidRPr="00D46E40">
        <w:rPr>
          <w:b/>
          <w:color w:val="000000"/>
          <w:sz w:val="24"/>
          <w:szCs w:val="24"/>
        </w:rPr>
        <w:t>»</w:t>
      </w:r>
      <w:r w:rsidRPr="00D46E40">
        <w:rPr>
          <w:b/>
          <w:color w:val="000000"/>
          <w:sz w:val="24"/>
          <w:szCs w:val="24"/>
        </w:rPr>
        <w:br/>
      </w:r>
      <w:bookmarkStart w:id="0" w:name="_GoBack"/>
      <w:bookmarkEnd w:id="0"/>
      <w:r w:rsidRPr="00D46E40">
        <w:rPr>
          <w:b/>
          <w:color w:val="000000"/>
          <w:sz w:val="24"/>
          <w:szCs w:val="24"/>
        </w:rPr>
        <w:t>3 семестр</w:t>
      </w:r>
    </w:p>
    <w:p w:rsidR="00D46E40" w:rsidRPr="00D46E40" w:rsidRDefault="00D46E40" w:rsidP="00D46E40">
      <w:pPr>
        <w:widowControl/>
        <w:autoSpaceDE/>
        <w:autoSpaceDN/>
        <w:adjustRightInd/>
        <w:spacing w:after="200"/>
        <w:ind w:left="51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proofErr w:type="spellStart"/>
      <w:r w:rsidRPr="00D46E40">
        <w:rPr>
          <w:rFonts w:eastAsia="Calibri"/>
          <w:sz w:val="24"/>
          <w:szCs w:val="24"/>
          <w:lang w:eastAsia="en-US"/>
        </w:rPr>
        <w:t>Предпроектный</w:t>
      </w:r>
      <w:proofErr w:type="spellEnd"/>
      <w:r w:rsidRPr="00D46E40">
        <w:rPr>
          <w:rFonts w:eastAsia="Calibri"/>
          <w:sz w:val="24"/>
          <w:szCs w:val="24"/>
          <w:lang w:eastAsia="en-US"/>
        </w:rPr>
        <w:t xml:space="preserve"> анализ территории города.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Многофункциональный торговый комплекс как объект градостроительного проектирования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Функциональное зонирование территории, прилегающей к МТК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Функциональное зонирование здания МТК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Обеспечение доступности маломобильных групп населения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Многофункциональный жилой комплекс как объект проектирования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Типология квартир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Особенности размещения объектов социальной инфраструктуры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микрорайона/жилого района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Схемы функционально-планировочного решения многофункционального жилого комплекса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Особенности архитектурно-</w:t>
      </w:r>
      <w:proofErr w:type="gramStart"/>
      <w:r w:rsidRPr="00D46E40">
        <w:rPr>
          <w:rFonts w:eastAsia="Calibri"/>
          <w:sz w:val="24"/>
          <w:szCs w:val="24"/>
          <w:lang w:eastAsia="en-US"/>
        </w:rPr>
        <w:t>художественного решения</w:t>
      </w:r>
      <w:proofErr w:type="gramEnd"/>
      <w:r w:rsidRPr="00D46E40">
        <w:rPr>
          <w:rFonts w:eastAsia="Calibri"/>
          <w:sz w:val="24"/>
          <w:szCs w:val="24"/>
          <w:lang w:eastAsia="en-US"/>
        </w:rPr>
        <w:t xml:space="preserve"> объектов.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Многофункциональный торговый комплекс как объект градостроительного проектирования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Функциональное зонирование территории, прилегающей к МТК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Функциональное зонирование здания МТК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Обеспечение доступности маломобильных групп населения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Многофункциональный жилой комплекс как объект проектирования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Типология квартир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 xml:space="preserve">Особенности </w:t>
      </w:r>
      <w:proofErr w:type="gramStart"/>
      <w:r w:rsidRPr="00D46E40">
        <w:rPr>
          <w:rFonts w:eastAsia="Calibri"/>
          <w:sz w:val="24"/>
          <w:szCs w:val="24"/>
          <w:lang w:eastAsia="en-US"/>
        </w:rPr>
        <w:t>размещения объектов социальной инфраструктуры микрорайона/жилого района</w:t>
      </w:r>
      <w:proofErr w:type="gramEnd"/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Схемы функционально-планировочного решения многофункционального жилого комплекса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Особенности архитектурно-</w:t>
      </w:r>
      <w:proofErr w:type="gramStart"/>
      <w:r w:rsidRPr="00D46E40">
        <w:rPr>
          <w:rFonts w:eastAsia="Calibri"/>
          <w:sz w:val="24"/>
          <w:szCs w:val="24"/>
          <w:lang w:eastAsia="en-US"/>
        </w:rPr>
        <w:t>художественного решения</w:t>
      </w:r>
      <w:proofErr w:type="gramEnd"/>
      <w:r w:rsidRPr="00D46E40">
        <w:rPr>
          <w:rFonts w:eastAsia="Calibri"/>
          <w:sz w:val="24"/>
          <w:szCs w:val="24"/>
          <w:lang w:eastAsia="en-US"/>
        </w:rPr>
        <w:t xml:space="preserve"> объектов.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Перечислите  современные  экспериментальные  и  теоретические  методы исследования в архитектуре и градостроительстве.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Что такое программа научных исследований, ее структура.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Что такое анализ научных данных.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Роль природного каркаса в формировании благоприятной среды обитания.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Экологические функции озелененных территорий городов.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Права и ответственность архитектора при формировании здоровой, безопасной и эстетичной искусственной среды.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Раскройте сущность разработки предложений по формированию природного каркаса города.</w:t>
      </w:r>
    </w:p>
    <w:p w:rsidR="00D46E40" w:rsidRPr="00D46E40" w:rsidRDefault="00D46E40" w:rsidP="00D46E40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sz w:val="24"/>
          <w:szCs w:val="24"/>
          <w:lang w:eastAsia="en-US"/>
        </w:rPr>
      </w:pPr>
      <w:r w:rsidRPr="00D46E40">
        <w:rPr>
          <w:rFonts w:eastAsia="Calibri"/>
          <w:sz w:val="24"/>
          <w:szCs w:val="24"/>
          <w:lang w:eastAsia="en-US"/>
        </w:rPr>
        <w:t>Методы оценки экологического состояния среды.</w:t>
      </w:r>
    </w:p>
    <w:p w:rsidR="003523D2" w:rsidRDefault="00D46E40" w:rsidP="00D46E40">
      <w:pPr>
        <w:pStyle w:val="a3"/>
        <w:numPr>
          <w:ilvl w:val="0"/>
          <w:numId w:val="2"/>
        </w:numPr>
      </w:pPr>
      <w:r w:rsidRPr="00D46E40">
        <w:rPr>
          <w:rFonts w:eastAsia="Calibri"/>
          <w:sz w:val="24"/>
          <w:szCs w:val="24"/>
          <w:lang w:eastAsia="en-US"/>
        </w:rPr>
        <w:t>Приемы формирования вторичных, экологически благополучных ландшафтов в градостроительном проектировании.</w:t>
      </w:r>
    </w:p>
    <w:sectPr w:rsidR="0035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864"/>
    <w:multiLevelType w:val="hybridMultilevel"/>
    <w:tmpl w:val="01E4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B3570"/>
    <w:multiLevelType w:val="hybridMultilevel"/>
    <w:tmpl w:val="DB44450C"/>
    <w:lvl w:ilvl="0" w:tplc="4AA654C8">
      <w:start w:val="1"/>
      <w:numFmt w:val="decimal"/>
      <w:lvlText w:val="%1."/>
      <w:lvlJc w:val="left"/>
      <w:pPr>
        <w:ind w:left="711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40"/>
    <w:rsid w:val="003523D2"/>
    <w:rsid w:val="00D4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2022-01-10T10:59:00Z</cp:lastPrinted>
  <dcterms:created xsi:type="dcterms:W3CDTF">2022-01-10T10:58:00Z</dcterms:created>
  <dcterms:modified xsi:type="dcterms:W3CDTF">2022-01-10T11:01:00Z</dcterms:modified>
</cp:coreProperties>
</file>